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8" w:type="pct"/>
        <w:jc w:val="center"/>
        <w:tblLayout w:type="autofit"/>
        <w:tblCellMar>
          <w:top w:w="0" w:type="dxa"/>
          <w:left w:w="108" w:type="dxa"/>
          <w:bottom w:w="0" w:type="dxa"/>
          <w:right w:w="108" w:type="dxa"/>
        </w:tblCellMar>
      </w:tblPr>
      <w:tblGrid>
        <w:gridCol w:w="427"/>
        <w:gridCol w:w="642"/>
        <w:gridCol w:w="918"/>
        <w:gridCol w:w="617"/>
        <w:gridCol w:w="3651"/>
        <w:gridCol w:w="2264"/>
      </w:tblGrid>
      <w:tr>
        <w:tblPrEx>
          <w:tblCellMar>
            <w:top w:w="0" w:type="dxa"/>
            <w:left w:w="108" w:type="dxa"/>
            <w:bottom w:w="0" w:type="dxa"/>
            <w:right w:w="108" w:type="dxa"/>
          </w:tblCellMar>
        </w:tblPrEx>
        <w:trPr>
          <w:trHeight w:val="560"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000000" w:fill="E7E6E6"/>
            <w:vAlign w:val="center"/>
          </w:tcPr>
          <w:p>
            <w:pPr>
              <w:widowControl/>
              <w:adjustRightInd w:val="0"/>
              <w:snapToGrid w:val="0"/>
              <w:spacing w:line="240" w:lineRule="auto"/>
              <w:ind w:firstLine="0" w:firstLineChars="0"/>
              <w:jc w:val="center"/>
              <w:rPr>
                <w:rFonts w:hint="default" w:eastAsia="仿宋" w:cs="宋体"/>
                <w:b/>
                <w:bCs/>
                <w:color w:val="000000"/>
                <w:kern w:val="0"/>
                <w:sz w:val="21"/>
                <w:lang w:val="en-US" w:eastAsia="zh-CN"/>
              </w:rPr>
            </w:pPr>
            <w:r>
              <w:rPr>
                <w:rFonts w:hint="eastAsia" w:cs="宋体"/>
                <w:b/>
                <w:bCs/>
                <w:color w:val="000000"/>
                <w:kern w:val="0"/>
                <w:sz w:val="21"/>
                <w:lang w:val="en-US" w:eastAsia="zh-CN"/>
              </w:rPr>
              <w:t>广东省监狱中心医院网络安全服务项目费用清单</w:t>
            </w:r>
            <w:bookmarkStart w:id="0" w:name="_GoBack"/>
            <w:bookmarkEnd w:id="0"/>
          </w:p>
        </w:tc>
      </w:tr>
      <w:tr>
        <w:tblPrEx>
          <w:tblCellMar>
            <w:top w:w="0" w:type="dxa"/>
            <w:left w:w="108" w:type="dxa"/>
            <w:bottom w:w="0" w:type="dxa"/>
            <w:right w:w="108" w:type="dxa"/>
          </w:tblCellMar>
        </w:tblPrEx>
        <w:trPr>
          <w:trHeight w:val="285" w:hRule="atLeast"/>
          <w:jc w:val="center"/>
        </w:trPr>
        <w:tc>
          <w:tcPr>
            <w:tcW w:w="250" w:type="pct"/>
            <w:tcBorders>
              <w:top w:val="single" w:color="auto" w:sz="4" w:space="0"/>
              <w:left w:val="single" w:color="auto" w:sz="4" w:space="0"/>
              <w:bottom w:val="single" w:color="auto" w:sz="4" w:space="0"/>
              <w:right w:val="single" w:color="auto" w:sz="4" w:space="0"/>
            </w:tcBorders>
            <w:shd w:val="clear" w:color="000000" w:fill="E7E6E6"/>
            <w:vAlign w:val="center"/>
          </w:tcPr>
          <w:p>
            <w:pPr>
              <w:widowControl/>
              <w:adjustRightInd w:val="0"/>
              <w:snapToGrid w:val="0"/>
              <w:spacing w:line="240" w:lineRule="auto"/>
              <w:ind w:firstLine="0" w:firstLineChars="0"/>
              <w:jc w:val="center"/>
              <w:rPr>
                <w:rFonts w:hint="eastAsia" w:cs="宋体"/>
                <w:b/>
                <w:bCs/>
                <w:color w:val="000000"/>
                <w:kern w:val="0"/>
                <w:sz w:val="21"/>
              </w:rPr>
            </w:pPr>
            <w:r>
              <w:rPr>
                <w:rFonts w:hint="eastAsia" w:cs="宋体"/>
                <w:b/>
                <w:bCs/>
                <w:color w:val="000000"/>
                <w:kern w:val="0"/>
                <w:sz w:val="21"/>
              </w:rPr>
              <w:t>序号</w:t>
            </w:r>
          </w:p>
        </w:tc>
        <w:tc>
          <w:tcPr>
            <w:tcW w:w="377" w:type="pct"/>
            <w:tcBorders>
              <w:top w:val="single" w:color="auto" w:sz="4" w:space="0"/>
              <w:left w:val="nil"/>
              <w:bottom w:val="single" w:color="auto" w:sz="4" w:space="0"/>
              <w:right w:val="single" w:color="auto" w:sz="4" w:space="0"/>
            </w:tcBorders>
            <w:shd w:val="clear" w:color="000000" w:fill="E7E6E6"/>
            <w:vAlign w:val="center"/>
          </w:tcPr>
          <w:p>
            <w:pPr>
              <w:widowControl/>
              <w:adjustRightInd w:val="0"/>
              <w:snapToGrid w:val="0"/>
              <w:spacing w:line="240" w:lineRule="auto"/>
              <w:ind w:firstLine="0" w:firstLineChars="0"/>
              <w:jc w:val="center"/>
              <w:rPr>
                <w:rFonts w:hint="eastAsia" w:cs="宋体"/>
                <w:b/>
                <w:bCs/>
                <w:color w:val="000000"/>
                <w:kern w:val="0"/>
                <w:sz w:val="21"/>
              </w:rPr>
            </w:pPr>
            <w:r>
              <w:rPr>
                <w:rFonts w:hint="eastAsia" w:cs="宋体"/>
                <w:b/>
                <w:bCs/>
                <w:color w:val="000000"/>
                <w:kern w:val="0"/>
                <w:sz w:val="21"/>
              </w:rPr>
              <w:t>任务名称</w:t>
            </w:r>
          </w:p>
        </w:tc>
        <w:tc>
          <w:tcPr>
            <w:tcW w:w="539" w:type="pct"/>
            <w:tcBorders>
              <w:top w:val="single" w:color="auto" w:sz="4" w:space="0"/>
              <w:left w:val="nil"/>
              <w:bottom w:val="single" w:color="auto" w:sz="4" w:space="0"/>
              <w:right w:val="single" w:color="auto" w:sz="4" w:space="0"/>
            </w:tcBorders>
            <w:shd w:val="clear" w:color="000000" w:fill="E7E6E6"/>
            <w:vAlign w:val="center"/>
          </w:tcPr>
          <w:p>
            <w:pPr>
              <w:widowControl/>
              <w:adjustRightInd w:val="0"/>
              <w:snapToGrid w:val="0"/>
              <w:spacing w:line="240" w:lineRule="auto"/>
              <w:ind w:firstLine="0" w:firstLineChars="0"/>
              <w:jc w:val="center"/>
              <w:rPr>
                <w:rFonts w:hint="eastAsia" w:cs="宋体"/>
                <w:b/>
                <w:bCs/>
                <w:color w:val="000000"/>
                <w:kern w:val="0"/>
                <w:sz w:val="21"/>
              </w:rPr>
            </w:pPr>
            <w:r>
              <w:rPr>
                <w:rFonts w:hint="eastAsia" w:cs="宋体"/>
                <w:b/>
                <w:bCs/>
                <w:color w:val="000000"/>
                <w:kern w:val="0"/>
                <w:sz w:val="21"/>
              </w:rPr>
              <w:t>实施时间</w:t>
            </w:r>
          </w:p>
        </w:tc>
        <w:tc>
          <w:tcPr>
            <w:tcW w:w="362" w:type="pct"/>
            <w:tcBorders>
              <w:top w:val="single" w:color="auto" w:sz="4" w:space="0"/>
              <w:left w:val="nil"/>
              <w:bottom w:val="single" w:color="auto" w:sz="4" w:space="0"/>
              <w:right w:val="single" w:color="auto" w:sz="4" w:space="0"/>
            </w:tcBorders>
            <w:shd w:val="clear" w:color="000000" w:fill="E7E6E6"/>
            <w:vAlign w:val="center"/>
          </w:tcPr>
          <w:p>
            <w:pPr>
              <w:widowControl/>
              <w:adjustRightInd w:val="0"/>
              <w:snapToGrid w:val="0"/>
              <w:spacing w:line="240" w:lineRule="auto"/>
              <w:ind w:firstLine="0" w:firstLineChars="0"/>
              <w:jc w:val="center"/>
              <w:rPr>
                <w:rFonts w:hint="eastAsia" w:cs="宋体"/>
                <w:b/>
                <w:bCs/>
                <w:color w:val="000000"/>
                <w:kern w:val="0"/>
                <w:sz w:val="21"/>
              </w:rPr>
            </w:pPr>
            <w:r>
              <w:rPr>
                <w:rFonts w:hint="eastAsia" w:cs="宋体"/>
                <w:b/>
                <w:bCs/>
                <w:color w:val="000000"/>
                <w:kern w:val="0"/>
                <w:sz w:val="21"/>
              </w:rPr>
              <w:t>服务频次</w:t>
            </w:r>
          </w:p>
        </w:tc>
        <w:tc>
          <w:tcPr>
            <w:tcW w:w="2142" w:type="pct"/>
            <w:tcBorders>
              <w:top w:val="single" w:color="auto" w:sz="4" w:space="0"/>
              <w:left w:val="nil"/>
              <w:bottom w:val="single" w:color="auto" w:sz="4" w:space="0"/>
              <w:right w:val="single" w:color="auto" w:sz="4" w:space="0"/>
            </w:tcBorders>
            <w:shd w:val="clear" w:color="000000" w:fill="E7E6E6"/>
            <w:vAlign w:val="center"/>
          </w:tcPr>
          <w:p>
            <w:pPr>
              <w:widowControl/>
              <w:adjustRightInd w:val="0"/>
              <w:snapToGrid w:val="0"/>
              <w:spacing w:line="240" w:lineRule="auto"/>
              <w:ind w:firstLine="0" w:firstLineChars="0"/>
              <w:jc w:val="center"/>
              <w:rPr>
                <w:rFonts w:hint="eastAsia" w:cs="宋体"/>
                <w:b/>
                <w:bCs/>
                <w:color w:val="000000"/>
                <w:kern w:val="0"/>
                <w:sz w:val="21"/>
              </w:rPr>
            </w:pPr>
            <w:r>
              <w:rPr>
                <w:rFonts w:hint="eastAsia" w:cs="宋体"/>
                <w:b/>
                <w:bCs/>
                <w:color w:val="000000"/>
                <w:kern w:val="0"/>
                <w:sz w:val="21"/>
              </w:rPr>
              <w:t>任务内容描述</w:t>
            </w:r>
          </w:p>
        </w:tc>
        <w:tc>
          <w:tcPr>
            <w:tcW w:w="1328" w:type="pct"/>
            <w:tcBorders>
              <w:top w:val="single" w:color="auto" w:sz="4" w:space="0"/>
              <w:left w:val="nil"/>
              <w:bottom w:val="single" w:color="auto" w:sz="4" w:space="0"/>
              <w:right w:val="single" w:color="auto" w:sz="4" w:space="0"/>
            </w:tcBorders>
            <w:shd w:val="clear" w:color="000000" w:fill="E7E6E6"/>
            <w:vAlign w:val="center"/>
          </w:tcPr>
          <w:p>
            <w:pPr>
              <w:widowControl/>
              <w:adjustRightInd w:val="0"/>
              <w:snapToGrid w:val="0"/>
              <w:spacing w:line="240" w:lineRule="auto"/>
              <w:ind w:firstLine="0" w:firstLineChars="0"/>
              <w:jc w:val="center"/>
              <w:rPr>
                <w:rFonts w:hint="eastAsia" w:cs="宋体"/>
                <w:b/>
                <w:bCs/>
                <w:color w:val="000000"/>
                <w:kern w:val="0"/>
                <w:sz w:val="21"/>
                <w:lang w:val="en-US" w:eastAsia="zh-CN"/>
              </w:rPr>
            </w:pPr>
            <w:r>
              <w:rPr>
                <w:rFonts w:hint="eastAsia" w:cs="宋体"/>
                <w:b/>
                <w:bCs/>
                <w:color w:val="000000"/>
                <w:kern w:val="0"/>
                <w:sz w:val="21"/>
                <w:lang w:val="en-US" w:eastAsia="zh-CN"/>
              </w:rPr>
              <w:t>费用（元）</w:t>
            </w:r>
          </w:p>
        </w:tc>
      </w:tr>
      <w:tr>
        <w:tblPrEx>
          <w:tblCellMar>
            <w:top w:w="0" w:type="dxa"/>
            <w:left w:w="108" w:type="dxa"/>
            <w:bottom w:w="0" w:type="dxa"/>
            <w:right w:w="108" w:type="dxa"/>
          </w:tblCellMar>
        </w:tblPrEx>
        <w:trPr>
          <w:trHeight w:val="699"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资产梳理</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项目启动后的第1个月内完成</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一年2次</w:t>
            </w:r>
          </w:p>
        </w:tc>
        <w:tc>
          <w:tcPr>
            <w:tcW w:w="21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sz w:val="20"/>
                <w:szCs w:val="20"/>
              </w:rPr>
              <w:t>资产梳理是全面识别、分类、评估和管理组织内部信息系统资产的过程，信息系统资产梳理范围包括服务器、网络设备、应用系统、终端、电子屏等，根据资产的类型、用途、重要性等属性对资产进行分类，收集资产信息，信息内容包括但不限于：设备品牌、型号、设备位置、设备性能参数、购买年限、保修状态、备件情况等。</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hint="eastAsia"/>
                <w:sz w:val="20"/>
                <w:szCs w:val="20"/>
              </w:rPr>
            </w:pPr>
          </w:p>
        </w:tc>
      </w:tr>
      <w:tr>
        <w:tblPrEx>
          <w:tblCellMar>
            <w:top w:w="0" w:type="dxa"/>
            <w:left w:w="108" w:type="dxa"/>
            <w:bottom w:w="0" w:type="dxa"/>
            <w:right w:w="108" w:type="dxa"/>
          </w:tblCellMar>
        </w:tblPrEx>
        <w:trPr>
          <w:trHeight w:val="1200"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2</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安全检查和运维</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项目启动后的第1个月内完成，之后每季度首月的下旬</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每季度一次</w:t>
            </w:r>
          </w:p>
        </w:tc>
        <w:tc>
          <w:tcPr>
            <w:tcW w:w="2142" w:type="pct"/>
            <w:tcBorders>
              <w:top w:val="nil"/>
              <w:left w:val="nil"/>
              <w:bottom w:val="single" w:color="auto" w:sz="4" w:space="0"/>
              <w:right w:val="single" w:color="auto" w:sz="4" w:space="0"/>
            </w:tcBorders>
            <w:shd w:val="clear" w:color="auto" w:fill="auto"/>
            <w:vAlign w:val="center"/>
          </w:tcPr>
          <w:p>
            <w:pPr>
              <w:tabs>
                <w:tab w:val="left" w:pos="426"/>
              </w:tabs>
              <w:adjustRightInd w:val="0"/>
              <w:snapToGrid w:val="0"/>
              <w:spacing w:line="240" w:lineRule="auto"/>
              <w:ind w:firstLine="0" w:firstLineChars="0"/>
              <w:rPr>
                <w:sz w:val="20"/>
                <w:szCs w:val="20"/>
              </w:rPr>
            </w:pPr>
            <w:r>
              <w:rPr>
                <w:rFonts w:hint="eastAsia"/>
                <w:sz w:val="20"/>
                <w:szCs w:val="20"/>
              </w:rPr>
              <w:t>配合医院展开安全检查和运维工作，对现网安全提供全面巡检服务，巡检</w:t>
            </w:r>
            <w:r>
              <w:rPr>
                <w:sz w:val="20"/>
                <w:szCs w:val="20"/>
              </w:rPr>
              <w:t>的内容</w:t>
            </w:r>
            <w:r>
              <w:rPr>
                <w:rFonts w:hint="eastAsia"/>
                <w:sz w:val="20"/>
                <w:szCs w:val="20"/>
              </w:rPr>
              <w:t>包括但不限于：</w:t>
            </w:r>
          </w:p>
          <w:p>
            <w:pPr>
              <w:tabs>
                <w:tab w:val="left" w:pos="426"/>
              </w:tabs>
              <w:adjustRightInd w:val="0"/>
              <w:snapToGrid w:val="0"/>
              <w:spacing w:line="240" w:lineRule="auto"/>
              <w:ind w:firstLine="0" w:firstLineChars="0"/>
              <w:rPr>
                <w:sz w:val="20"/>
                <w:szCs w:val="20"/>
              </w:rPr>
            </w:pPr>
            <w:r>
              <w:rPr>
                <w:rFonts w:hint="eastAsia"/>
                <w:sz w:val="20"/>
                <w:szCs w:val="20"/>
              </w:rPr>
              <w:t>1、安全设备硬件信息：安全设备品牌、设备型号、设备放置、设备性能参数、设备内存大小、设备槽位、设备序列号、设备购买年限、设备保修状态、设备备件状况、</w:t>
            </w:r>
            <w:r>
              <w:rPr>
                <w:sz w:val="20"/>
                <w:szCs w:val="20"/>
              </w:rPr>
              <w:t>设备风扇及电源状况</w:t>
            </w:r>
            <w:r>
              <w:rPr>
                <w:rFonts w:hint="eastAsia"/>
                <w:sz w:val="20"/>
                <w:szCs w:val="20"/>
              </w:rPr>
              <w:t>、设备标签完善程度。</w:t>
            </w:r>
          </w:p>
          <w:p>
            <w:pPr>
              <w:tabs>
                <w:tab w:val="left" w:pos="426"/>
              </w:tabs>
              <w:adjustRightInd w:val="0"/>
              <w:snapToGrid w:val="0"/>
              <w:spacing w:line="240" w:lineRule="auto"/>
              <w:ind w:firstLine="0" w:firstLineChars="0"/>
              <w:rPr>
                <w:sz w:val="20"/>
                <w:szCs w:val="20"/>
              </w:rPr>
            </w:pPr>
            <w:r>
              <w:rPr>
                <w:rFonts w:hint="eastAsia"/>
                <w:sz w:val="20"/>
                <w:szCs w:val="20"/>
              </w:rPr>
              <w:t>2、安全设备软件信息：设备当前系统</w:t>
            </w:r>
            <w:r>
              <w:rPr>
                <w:sz w:val="20"/>
                <w:szCs w:val="20"/>
              </w:rPr>
              <w:t>版本信息、最新</w:t>
            </w:r>
            <w:r>
              <w:rPr>
                <w:rFonts w:hint="eastAsia"/>
                <w:sz w:val="20"/>
                <w:szCs w:val="20"/>
              </w:rPr>
              <w:t>系统</w:t>
            </w:r>
            <w:r>
              <w:rPr>
                <w:sz w:val="20"/>
                <w:szCs w:val="20"/>
              </w:rPr>
              <w:t>版本信息、设备持续运行时间、设备CPU利用率、设备内存利用率、设备模块运行状态、设备端口</w:t>
            </w:r>
            <w:r>
              <w:rPr>
                <w:rFonts w:hint="eastAsia"/>
                <w:sz w:val="20"/>
                <w:szCs w:val="20"/>
              </w:rPr>
              <w:t>使用</w:t>
            </w:r>
            <w:r>
              <w:rPr>
                <w:sz w:val="20"/>
                <w:szCs w:val="20"/>
              </w:rPr>
              <w:t>数量</w:t>
            </w:r>
            <w:r>
              <w:rPr>
                <w:rFonts w:hint="eastAsia"/>
                <w:sz w:val="20"/>
                <w:szCs w:val="20"/>
              </w:rPr>
              <w:t>。</w:t>
            </w:r>
          </w:p>
          <w:p>
            <w:pPr>
              <w:tabs>
                <w:tab w:val="left" w:pos="426"/>
              </w:tabs>
              <w:adjustRightInd w:val="0"/>
              <w:snapToGrid w:val="0"/>
              <w:spacing w:line="240" w:lineRule="auto"/>
              <w:ind w:firstLine="0" w:firstLineChars="0"/>
              <w:rPr>
                <w:sz w:val="20"/>
                <w:szCs w:val="20"/>
              </w:rPr>
            </w:pPr>
            <w:r>
              <w:rPr>
                <w:rFonts w:hint="eastAsia"/>
                <w:sz w:val="20"/>
                <w:szCs w:val="20"/>
              </w:rPr>
              <w:t>3、安全设备策略：安全设备连通性、冗余协议运行状态、</w:t>
            </w:r>
            <w:r>
              <w:rPr>
                <w:sz w:val="20"/>
                <w:szCs w:val="20"/>
              </w:rPr>
              <w:t>VLAN信息、设备配置信息分析、多余配置信息分析、配置精简建议、</w:t>
            </w:r>
            <w:r>
              <w:rPr>
                <w:rFonts w:hint="eastAsia"/>
                <w:sz w:val="20"/>
                <w:szCs w:val="20"/>
              </w:rPr>
              <w:t>策略变更分析。</w:t>
            </w:r>
          </w:p>
          <w:p>
            <w:pPr>
              <w:widowControl/>
              <w:adjustRightInd w:val="0"/>
              <w:snapToGrid w:val="0"/>
              <w:spacing w:line="240" w:lineRule="auto"/>
              <w:ind w:firstLine="0" w:firstLineChars="0"/>
              <w:jc w:val="left"/>
              <w:rPr>
                <w:rFonts w:cs="宋体"/>
                <w:color w:val="000000"/>
                <w:kern w:val="0"/>
                <w:sz w:val="20"/>
                <w:szCs w:val="20"/>
              </w:rPr>
            </w:pPr>
            <w:r>
              <w:rPr>
                <w:rFonts w:hint="eastAsia"/>
                <w:sz w:val="20"/>
                <w:szCs w:val="20"/>
              </w:rPr>
              <w:t>4、安全设备日志分析：对设备性能、告警信息、被攻击和入侵情况（如入侵事件、入侵源、前十位攻击对象等）、安全威胁进行动态评估。</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hint="eastAsia"/>
                <w:sz w:val="20"/>
                <w:szCs w:val="20"/>
              </w:rPr>
            </w:pPr>
          </w:p>
        </w:tc>
      </w:tr>
      <w:tr>
        <w:tblPrEx>
          <w:tblCellMar>
            <w:top w:w="0" w:type="dxa"/>
            <w:left w:w="108" w:type="dxa"/>
            <w:bottom w:w="0" w:type="dxa"/>
            <w:right w:w="108" w:type="dxa"/>
          </w:tblCellMar>
        </w:tblPrEx>
        <w:trPr>
          <w:trHeight w:val="1200"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3</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架构安全风险评估</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项目启动后的第2个月，隔离6个月</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一年不少于两次</w:t>
            </w:r>
          </w:p>
        </w:tc>
        <w:tc>
          <w:tcPr>
            <w:tcW w:w="2142" w:type="pct"/>
            <w:tcBorders>
              <w:top w:val="nil"/>
              <w:left w:val="nil"/>
              <w:bottom w:val="single" w:color="auto" w:sz="4" w:space="0"/>
              <w:right w:val="single" w:color="auto" w:sz="4" w:space="0"/>
            </w:tcBorders>
            <w:shd w:val="clear" w:color="auto" w:fill="auto"/>
            <w:vAlign w:val="center"/>
          </w:tcPr>
          <w:p>
            <w:pPr>
              <w:tabs>
                <w:tab w:val="left" w:pos="426"/>
              </w:tabs>
              <w:adjustRightInd w:val="0"/>
              <w:snapToGrid w:val="0"/>
              <w:spacing w:line="240" w:lineRule="auto"/>
              <w:ind w:firstLine="0" w:firstLineChars="0"/>
              <w:jc w:val="left"/>
              <w:rPr>
                <w:sz w:val="20"/>
                <w:szCs w:val="20"/>
              </w:rPr>
            </w:pPr>
            <w:r>
              <w:rPr>
                <w:rFonts w:hint="eastAsia"/>
                <w:sz w:val="20"/>
                <w:szCs w:val="20"/>
              </w:rPr>
              <w:t>对现网架构进行识别和风险评估，提出风险预防和整改措施。风险评估的方式包括人工访谈、工具检测、登录系统检测、文档分析、渗透测试等。风险评估的内容包括但不限于以下内容：</w:t>
            </w:r>
          </w:p>
          <w:p>
            <w:pPr>
              <w:tabs>
                <w:tab w:val="left" w:pos="426"/>
              </w:tabs>
              <w:adjustRightInd w:val="0"/>
              <w:snapToGrid w:val="0"/>
              <w:spacing w:line="240" w:lineRule="auto"/>
              <w:ind w:firstLine="0" w:firstLineChars="0"/>
              <w:jc w:val="left"/>
              <w:rPr>
                <w:sz w:val="20"/>
                <w:szCs w:val="20"/>
              </w:rPr>
            </w:pPr>
            <w:r>
              <w:rPr>
                <w:rFonts w:hint="eastAsia"/>
                <w:sz w:val="20"/>
                <w:szCs w:val="20"/>
              </w:rPr>
              <w:t>1、整个系统的网络拓扑结构；</w:t>
            </w:r>
          </w:p>
          <w:p>
            <w:pPr>
              <w:tabs>
                <w:tab w:val="left" w:pos="426"/>
              </w:tabs>
              <w:adjustRightInd w:val="0"/>
              <w:snapToGrid w:val="0"/>
              <w:spacing w:line="240" w:lineRule="auto"/>
              <w:ind w:firstLine="0" w:firstLineChars="0"/>
              <w:jc w:val="left"/>
              <w:rPr>
                <w:sz w:val="20"/>
                <w:szCs w:val="20"/>
              </w:rPr>
            </w:pPr>
            <w:r>
              <w:rPr>
                <w:rFonts w:hint="eastAsia"/>
                <w:sz w:val="20"/>
                <w:szCs w:val="20"/>
              </w:rPr>
              <w:t>2、安全设备，包括防火墙、上网行为管理、堡垒机、主机安全、waf等；</w:t>
            </w:r>
          </w:p>
          <w:p>
            <w:pPr>
              <w:tabs>
                <w:tab w:val="left" w:pos="426"/>
              </w:tabs>
              <w:adjustRightInd w:val="0"/>
              <w:snapToGrid w:val="0"/>
              <w:spacing w:line="240" w:lineRule="auto"/>
              <w:ind w:firstLine="0" w:firstLineChars="0"/>
              <w:jc w:val="left"/>
              <w:rPr>
                <w:sz w:val="20"/>
                <w:szCs w:val="20"/>
              </w:rPr>
            </w:pPr>
            <w:r>
              <w:rPr>
                <w:rFonts w:hint="eastAsia"/>
                <w:sz w:val="20"/>
                <w:szCs w:val="20"/>
              </w:rPr>
              <w:t>3、网络设备，包括路由器、核心交换机、汇聚交换机以及认证网关等；</w:t>
            </w:r>
          </w:p>
          <w:p>
            <w:pPr>
              <w:tabs>
                <w:tab w:val="left" w:pos="426"/>
              </w:tabs>
              <w:adjustRightInd w:val="0"/>
              <w:snapToGrid w:val="0"/>
              <w:spacing w:line="240" w:lineRule="auto"/>
              <w:ind w:firstLine="0" w:firstLineChars="0"/>
              <w:jc w:val="left"/>
              <w:rPr>
                <w:sz w:val="20"/>
                <w:szCs w:val="20"/>
              </w:rPr>
            </w:pPr>
            <w:r>
              <w:rPr>
                <w:rFonts w:hint="eastAsia"/>
                <w:sz w:val="20"/>
                <w:szCs w:val="20"/>
              </w:rPr>
              <w:t>4、涉及到信息系统安全的所有管理制度和记录。</w:t>
            </w:r>
          </w:p>
          <w:p>
            <w:pPr>
              <w:widowControl/>
              <w:adjustRightInd w:val="0"/>
              <w:snapToGrid w:val="0"/>
              <w:spacing w:line="240" w:lineRule="auto"/>
              <w:ind w:firstLine="0" w:firstLineChars="0"/>
              <w:jc w:val="left"/>
              <w:rPr>
                <w:rFonts w:cs="宋体"/>
                <w:color w:val="000000"/>
                <w:kern w:val="0"/>
                <w:sz w:val="20"/>
                <w:szCs w:val="20"/>
              </w:rPr>
            </w:pPr>
            <w:r>
              <w:rPr>
                <w:rFonts w:hint="eastAsia"/>
                <w:sz w:val="20"/>
                <w:szCs w:val="20"/>
              </w:rPr>
              <w:t>5、第三方机构系统接入医院信息系统安全评估</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hint="eastAsia"/>
                <w:sz w:val="20"/>
                <w:szCs w:val="20"/>
              </w:rPr>
            </w:pPr>
          </w:p>
        </w:tc>
      </w:tr>
      <w:tr>
        <w:trPr>
          <w:trHeight w:val="2160"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4</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安全设备配置适应性调整</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按需及时响应，在配置变更需求提出后的3个工作日内</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不限次数</w:t>
            </w:r>
          </w:p>
        </w:tc>
        <w:tc>
          <w:tcPr>
            <w:tcW w:w="21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在相关安全设备配置需要调整时，服务商必须派遣工程师进行配置风险评估、提出调整方案并实施。安全相关设备配置包括但不限于以下情况：</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1、网络出口新增加，评估新网络出口的风险和安全防护措施；</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2、防火墙、路由器等边界类设备的配置变更，详细记录变更内容，包括IP策略、端口策略、放通/禁止策略等；</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3、态势感知、网络行为分析等旁路安全设备配置变更，包括协议监控、端口监控、联动策略等；</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4、杀毒软件、准入控制等终端管理类软件的配置变更，包括扫描策略、准入方式、控制范围等；</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服务商在协助医院进行安全设备配置变更时，要充分考虑到配置变更过程中和变更后带来的安全风险，采取一定的预防措施，将风险降低到最小，最小化对医院正常业务开展的带来的影响。</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hint="eastAsia" w:cs="宋体"/>
                <w:color w:val="000000"/>
                <w:kern w:val="0"/>
                <w:sz w:val="20"/>
                <w:szCs w:val="20"/>
              </w:rPr>
            </w:pPr>
          </w:p>
        </w:tc>
      </w:tr>
      <w:tr>
        <w:tblPrEx>
          <w:tblCellMar>
            <w:top w:w="0" w:type="dxa"/>
            <w:left w:w="108" w:type="dxa"/>
            <w:bottom w:w="0" w:type="dxa"/>
            <w:right w:w="108" w:type="dxa"/>
          </w:tblCellMar>
        </w:tblPrEx>
        <w:trPr>
          <w:trHeight w:val="416"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5</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安全配置备份</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每月的前3个工作日</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每月一次</w:t>
            </w:r>
          </w:p>
        </w:tc>
        <w:tc>
          <w:tcPr>
            <w:tcW w:w="21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将现网所有安全设备和核心网络设备通过设备的命令行界面或网页界面导出配置文件，保存到配置备份服务器进行统一管理，并定期验证备份文件的完整性和可恢复性，确保备份的可靠性和有效性。</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hint="eastAsia" w:cs="宋体"/>
                <w:color w:val="000000"/>
                <w:kern w:val="0"/>
                <w:sz w:val="20"/>
                <w:szCs w:val="20"/>
              </w:rPr>
            </w:pPr>
          </w:p>
        </w:tc>
      </w:tr>
      <w:tr>
        <w:tblPrEx>
          <w:tblCellMar>
            <w:top w:w="0" w:type="dxa"/>
            <w:left w:w="108" w:type="dxa"/>
            <w:bottom w:w="0" w:type="dxa"/>
            <w:right w:w="108" w:type="dxa"/>
          </w:tblCellMar>
        </w:tblPrEx>
        <w:trPr>
          <w:trHeight w:val="274"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6</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安全事件紧急响应</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发生安全事件立即响应</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不限次数</w:t>
            </w:r>
          </w:p>
        </w:tc>
        <w:tc>
          <w:tcPr>
            <w:tcW w:w="21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提供</w:t>
            </w:r>
            <w:r>
              <w:rPr>
                <w:rFonts w:cs="宋体"/>
                <w:color w:val="000000"/>
                <w:kern w:val="0"/>
                <w:sz w:val="20"/>
                <w:szCs w:val="20"/>
              </w:rPr>
              <w:t>24小时安全事件紧急响应服务，确保在发生任何安全事件时能够迅速、精准地定位风险点、深入分析潜在威胁、全面报告事件详情，并高效执行相应的处置措施，以保障业务系统的持续安全与稳定运行。</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1、事件识别与报告</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w:t>
            </w:r>
            <w:r>
              <w:rPr>
                <w:rFonts w:cs="宋体"/>
                <w:color w:val="000000"/>
                <w:kern w:val="0"/>
                <w:sz w:val="20"/>
                <w:szCs w:val="20"/>
              </w:rPr>
              <w:t>1）提供有效的安全事件识别机制，包括但不限于：通过日志分析、入侵检测、网络监控等手段发现潜在的安全事件。</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w:t>
            </w:r>
            <w:r>
              <w:rPr>
                <w:rFonts w:cs="宋体"/>
                <w:color w:val="000000"/>
                <w:kern w:val="0"/>
                <w:sz w:val="20"/>
                <w:szCs w:val="20"/>
              </w:rPr>
              <w:t>2）在发现安全事件后的第一时间向医院提交详细的安全事件报告，报告应包含但不限于以下内容：</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a.</w:t>
            </w:r>
            <w:r>
              <w:rPr>
                <w:rFonts w:cs="宋体"/>
                <w:color w:val="000000"/>
                <w:kern w:val="0"/>
                <w:sz w:val="20"/>
                <w:szCs w:val="20"/>
              </w:rPr>
              <w:tab/>
            </w:r>
            <w:r>
              <w:rPr>
                <w:rFonts w:cs="宋体"/>
                <w:color w:val="000000"/>
                <w:kern w:val="0"/>
                <w:sz w:val="20"/>
                <w:szCs w:val="20"/>
              </w:rPr>
              <w:t>事件描述：事件的性质、发生时间、地点、影响范围等。</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b.</w:t>
            </w:r>
            <w:r>
              <w:rPr>
                <w:rFonts w:cs="宋体"/>
                <w:color w:val="000000"/>
                <w:kern w:val="0"/>
                <w:sz w:val="20"/>
                <w:szCs w:val="20"/>
              </w:rPr>
              <w:tab/>
            </w:r>
            <w:r>
              <w:rPr>
                <w:rFonts w:cs="宋体"/>
                <w:color w:val="000000"/>
                <w:kern w:val="0"/>
                <w:sz w:val="20"/>
                <w:szCs w:val="20"/>
              </w:rPr>
              <w:t>事件分析：初步判断事件的原因、影响及可能存在的风险。</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c.</w:t>
            </w:r>
            <w:r>
              <w:rPr>
                <w:rFonts w:cs="宋体"/>
                <w:color w:val="000000"/>
                <w:kern w:val="0"/>
                <w:sz w:val="20"/>
                <w:szCs w:val="20"/>
              </w:rPr>
              <w:tab/>
            </w:r>
            <w:r>
              <w:rPr>
                <w:rFonts w:cs="宋体"/>
                <w:color w:val="000000"/>
                <w:kern w:val="0"/>
                <w:sz w:val="20"/>
                <w:szCs w:val="20"/>
              </w:rPr>
              <w:t>应对措施：建议采取的紧急处理措施及后续处置计划。</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2、应急响应与处置</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w:t>
            </w:r>
            <w:r>
              <w:rPr>
                <w:rFonts w:cs="宋体"/>
                <w:color w:val="000000"/>
                <w:kern w:val="0"/>
                <w:sz w:val="20"/>
                <w:szCs w:val="20"/>
              </w:rPr>
              <w:t>1）提供专业的安全应急响应团队，具备处理各类安全事件的能力和经验。</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w:t>
            </w:r>
            <w:r>
              <w:rPr>
                <w:rFonts w:cs="宋体"/>
                <w:color w:val="000000"/>
                <w:kern w:val="0"/>
                <w:sz w:val="20"/>
                <w:szCs w:val="20"/>
              </w:rPr>
              <w:t>2）在接到安全事件报告后，服务商应立即启动应急响应流程，组织相关人员进行事件分析、处置和恢复工作。</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w:t>
            </w:r>
            <w:r>
              <w:rPr>
                <w:rFonts w:cs="宋体"/>
                <w:color w:val="000000"/>
                <w:kern w:val="0"/>
                <w:sz w:val="20"/>
                <w:szCs w:val="20"/>
              </w:rPr>
              <w:t>3）采取有效措施，防止事件扩大化，降低对医院业务的影响。</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w:t>
            </w:r>
            <w:r>
              <w:rPr>
                <w:rFonts w:cs="宋体"/>
                <w:color w:val="000000"/>
                <w:kern w:val="0"/>
                <w:sz w:val="20"/>
                <w:szCs w:val="20"/>
              </w:rPr>
              <w:t>4）在事件处置过程中，服务商应定期向医院报告事件处置进展情况，直至事件完全解决。</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3、事后评估与总结</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w:t>
            </w:r>
            <w:r>
              <w:rPr>
                <w:rFonts w:cs="宋体"/>
                <w:color w:val="000000"/>
                <w:kern w:val="0"/>
                <w:sz w:val="20"/>
                <w:szCs w:val="20"/>
              </w:rPr>
              <w:t>1）事件处置完成后，服务商应对整个事件进行事后评估，总结经验教训，并提出改进建议。</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w:t>
            </w:r>
            <w:r>
              <w:rPr>
                <w:rFonts w:cs="宋体"/>
                <w:color w:val="000000"/>
                <w:kern w:val="0"/>
                <w:sz w:val="20"/>
                <w:szCs w:val="20"/>
              </w:rPr>
              <w:t>2）协助医院完善安全策略、更新安全系统或进行必要的培训，以提高医院的整体安全防护能力。</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hint="eastAsia" w:cs="宋体"/>
                <w:color w:val="000000"/>
                <w:kern w:val="0"/>
                <w:sz w:val="20"/>
                <w:szCs w:val="20"/>
              </w:rPr>
            </w:pPr>
          </w:p>
        </w:tc>
      </w:tr>
      <w:tr>
        <w:tblPrEx>
          <w:tblCellMar>
            <w:top w:w="0" w:type="dxa"/>
            <w:left w:w="108" w:type="dxa"/>
            <w:bottom w:w="0" w:type="dxa"/>
            <w:right w:w="108" w:type="dxa"/>
          </w:tblCellMar>
        </w:tblPrEx>
        <w:trPr>
          <w:trHeight w:val="1680"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7</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失陷终端处置</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发生失陷事件立即响应</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不限次数</w:t>
            </w:r>
          </w:p>
        </w:tc>
        <w:tc>
          <w:tcPr>
            <w:tcW w:w="21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针对检查中发现的失陷终端进行及时、准确的发现和定位，化解安全危机、处置隐患和问题，将安全事件的发生的风险概率降到最低。在需求方现网终端遇到安全告警的时候，采取适当的措施及时遏制安全事件发生，确保业务正常运作不受到影响，保存证据和追查来源等。例如：勒索病毒、信息窃取、拒绝服务攻击、网络流量异常等。</w:t>
            </w:r>
          </w:p>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针对杀毒软件未能捕捉到潜在威胁，而态势感知系统成功预警的失陷终端，服务商应快速启动终端响应处置流程，确保网络环境的安全与稳定。</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hint="eastAsia" w:cs="宋体"/>
                <w:color w:val="000000"/>
                <w:kern w:val="0"/>
                <w:sz w:val="20"/>
                <w:szCs w:val="20"/>
              </w:rPr>
            </w:pPr>
          </w:p>
        </w:tc>
      </w:tr>
      <w:tr>
        <w:tblPrEx>
          <w:tblCellMar>
            <w:top w:w="0" w:type="dxa"/>
            <w:left w:w="108" w:type="dxa"/>
            <w:bottom w:w="0" w:type="dxa"/>
            <w:right w:w="108" w:type="dxa"/>
          </w:tblCellMar>
        </w:tblPrEx>
        <w:trPr>
          <w:trHeight w:val="1680"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8</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安全设备日志分析</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项目启动后的第3个月，之后每个季度第2月的中旬</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一季度不少一次</w:t>
            </w:r>
          </w:p>
        </w:tc>
        <w:tc>
          <w:tcPr>
            <w:tcW w:w="21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1、日志收集：定期统一收集各个安全设备的日志和报表进行存档以便分析。</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2、分析日志：根据需求方设备的具体情况，分析关键服务器、安全设备等设备的日志, 采取人工加工具的审计分析方法对日志信息进行综合分析,找到当前的系统及网络设备中存在的隐患和被攻击痕迹。</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3、生成报告：根据以上评估，生成具体的日志分析报告，为需求方量身定制出专业又极具可读性的报告，并会针对报告中的各项问题，为需求方提供修补建议，使发现的问题能尽可能早的得到解决，避免引起更大范围的影响和损失。</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p>
        </w:tc>
      </w:tr>
      <w:tr>
        <w:tblPrEx>
          <w:tblCellMar>
            <w:top w:w="0" w:type="dxa"/>
            <w:left w:w="108" w:type="dxa"/>
            <w:bottom w:w="0" w:type="dxa"/>
            <w:right w:w="108" w:type="dxa"/>
          </w:tblCellMar>
        </w:tblPrEx>
        <w:trPr>
          <w:trHeight w:val="2160"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9</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配合安全建设</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按需服务</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不限次数</w:t>
            </w:r>
          </w:p>
        </w:tc>
        <w:tc>
          <w:tcPr>
            <w:tcW w:w="21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在医院相关或上级部门提出安全建设、安全整改、安全加固等任务时，派遣专业安全技术人员指导配合进行安全相关工作，包括医院网络安全通报处置、公安部门递送的安全检查或安全漏洞通知、上级部门递送的安全检查或安全漏洞通知、国家重大事件的安全保障检查、突发性事件的检查通知或现场检查、医院相关定级评审配合、重大节假日安全保障、医院相关或上级部门组织的攻防演练活动防护等，在重保期间，按预案组织人员实施，增派人手及延长驻场服务时间，配合医院开展安全方面相关工作，具体服务内容由医院和服务商根据具体要求商议决定。</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hint="eastAsia" w:cs="宋体"/>
                <w:color w:val="000000"/>
                <w:kern w:val="0"/>
                <w:sz w:val="20"/>
                <w:szCs w:val="20"/>
              </w:rPr>
            </w:pPr>
          </w:p>
        </w:tc>
      </w:tr>
      <w:tr>
        <w:tblPrEx>
          <w:tblCellMar>
            <w:top w:w="0" w:type="dxa"/>
            <w:left w:w="108" w:type="dxa"/>
            <w:bottom w:w="0" w:type="dxa"/>
            <w:right w:w="108" w:type="dxa"/>
          </w:tblCellMar>
        </w:tblPrEx>
        <w:trPr>
          <w:trHeight w:val="1200"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10</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系统漏洞扫描与分析</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项目启动后的第2个月，每季度首月的上旬</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每季度一次</w:t>
            </w:r>
          </w:p>
        </w:tc>
        <w:tc>
          <w:tcPr>
            <w:tcW w:w="21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定期利用专业的技术工具对系统进行测试，包括基于网络探测和基于主机检测的漏洞扫描、数据库漏洞扫描等，发现服务器主机、业务终端设备等存在的问题或安全漏洞，并提出整改建议，协助医院做好整改工作，包括服务器高危漏洞在不影响业务的情况下协商修复。</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hint="eastAsia" w:cs="宋体"/>
                <w:color w:val="000000"/>
                <w:kern w:val="0"/>
                <w:sz w:val="20"/>
                <w:szCs w:val="20"/>
              </w:rPr>
            </w:pPr>
          </w:p>
        </w:tc>
      </w:tr>
      <w:tr>
        <w:tblPrEx>
          <w:tblCellMar>
            <w:top w:w="0" w:type="dxa"/>
            <w:left w:w="108" w:type="dxa"/>
            <w:bottom w:w="0" w:type="dxa"/>
            <w:right w:w="108" w:type="dxa"/>
          </w:tblCellMar>
        </w:tblPrEx>
        <w:trPr>
          <w:trHeight w:val="1440"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11</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主机基线检查</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项目启动后的第3个月，每个季度第二个月的下旬</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每季度一次</w:t>
            </w:r>
          </w:p>
        </w:tc>
        <w:tc>
          <w:tcPr>
            <w:tcW w:w="21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安全基线检查是对服务器系统进行评估和检查，以验证系统是否符合最低安全要求，确定系统中存在的安全风险，并提供相应的改进建议。安全基线检查包括以下几个方面：</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1、确定系统、数据库等是否按照安全要求进行配置。这涉及到检查系统的各种安全设置，如身份鉴别、访问控制、安全审计和入侵防范、恶意代码防范等。</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2、发现系统中存在的漏洞和弱点。通过采用安全检查设备以及人工检查两种方法，从对应目标的安全合规性等方面开展对系统的全量安全基线检查，从而发现其基线的不合规项。</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3、确保系统的基本安全设置和策略是否得到正确实施。这包括检查系统的日志记录和审计功能是否符合最低要求，以及评估系统的访问控制和权限管理是否得到有效的实施。</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p>
        </w:tc>
      </w:tr>
      <w:tr>
        <w:tblPrEx>
          <w:tblCellMar>
            <w:top w:w="0" w:type="dxa"/>
            <w:left w:w="108" w:type="dxa"/>
            <w:bottom w:w="0" w:type="dxa"/>
            <w:right w:w="108" w:type="dxa"/>
          </w:tblCellMar>
        </w:tblPrEx>
        <w:trPr>
          <w:trHeight w:val="1975"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12</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安全加固</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项目启动后的第3个月，根据漏洞扫描和主机基线检查结果，修复高危漏洞</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根据漏洞扫描和主机基线检查结果，修复高危漏洞</w:t>
            </w:r>
          </w:p>
        </w:tc>
        <w:tc>
          <w:tcPr>
            <w:tcW w:w="21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安全加固对象是漏洞扫描和基线核查中发现的问题，包括核心网络设备、安全设备、主机操作系统。安全整改加固建议主要关注身份鉴别、访问控制、安全审计、入侵防范、恶意代码防范等问题。</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1、身份鉴别：设置口令复杂度检查策略、设置登录失败处理功能、配置合理登录连接超时时间、采取HTTPS、SSH、VPN等加密措施保证系统和设备远程管理时用户鉴别信息的传输安全。</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2、访问控制：对登录的用户分配账户和权限；重命名或删除默认账户，修改默认账户的默认口令；删除或停用多余的、过期的账户。</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3、安全审计：启用安全审计功能，审计覆盖到每个用户，对重要的用户行为和重要安全事件进行审计；审计记录应包括事件的日期和时间、用户、事件类型、事件是否成功及其他与审计相关的信息；对审计记录进行保护，定期备份，避免受到未预期的删除、修改或覆盖等。</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4、入侵防范：关闭不需要的系统服务、默认共享和高危端口；设定终端接入方式或网络地址范围对通过网络进行管理的管理终端进行限制。</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5、恶意代码防范：统一部署防病毒软件，并及时更新病毒库，设置告警策略，抵挡外部恶意代码攻击。</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6、漏洞修复：当发现高危紧急的漏洞时，提供漏洞分析和加固建议，及时对操作系统进行加固，并协助应用厂商修复应用中间件的漏洞。</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p>
        </w:tc>
      </w:tr>
      <w:tr>
        <w:tblPrEx>
          <w:tblCellMar>
            <w:top w:w="0" w:type="dxa"/>
            <w:left w:w="108" w:type="dxa"/>
            <w:bottom w:w="0" w:type="dxa"/>
            <w:right w:w="108" w:type="dxa"/>
          </w:tblCellMar>
        </w:tblPrEx>
        <w:trPr>
          <w:trHeight w:val="1200"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13</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渗透服务</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项目启动后的第4个月，间隔6个月</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每半年一次，每次不小于12个业务系统</w:t>
            </w:r>
          </w:p>
        </w:tc>
        <w:tc>
          <w:tcPr>
            <w:tcW w:w="21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通过模拟黑客的攻击方法对系统和网络进行非破坏性质的攻击性测试，更加需求对客户的指定系统进行全面的渗透测试，从而从深层次发现客户应用系统存在的安全问题，发现未知的安全漏洞，评估安全防御的有效性，并将模拟攻击的过程和技术细节生成报告，根据渗透测试所提及的问题和修复建议对安全漏洞进行修复。</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hint="eastAsia" w:cs="宋体"/>
                <w:color w:val="000000"/>
                <w:kern w:val="0"/>
                <w:sz w:val="20"/>
                <w:szCs w:val="20"/>
              </w:rPr>
            </w:pPr>
          </w:p>
        </w:tc>
      </w:tr>
      <w:tr>
        <w:tblPrEx>
          <w:tblCellMar>
            <w:top w:w="0" w:type="dxa"/>
            <w:left w:w="108" w:type="dxa"/>
            <w:bottom w:w="0" w:type="dxa"/>
            <w:right w:w="108" w:type="dxa"/>
          </w:tblCellMar>
        </w:tblPrEx>
        <w:trPr>
          <w:trHeight w:val="1200"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14</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应急演练</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11月前完成</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不少于2个预案演练</w:t>
            </w:r>
          </w:p>
        </w:tc>
        <w:tc>
          <w:tcPr>
            <w:tcW w:w="21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制定信息系统的应急预案，定期举行应急演练，及时发现安全问题，准确分析和查找产生问题的原因，通过应急演练，全面检验应急预案的可行性、有效性和针对性，发现预案中存在的问题和不足，并及时进行修订和完善，提高预案的实用性和可操作性，确保在突发事件发生时能够迅速、有效地启动应急响应。</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hint="eastAsia" w:cs="宋体"/>
                <w:color w:val="000000"/>
                <w:kern w:val="0"/>
                <w:sz w:val="20"/>
                <w:szCs w:val="20"/>
              </w:rPr>
            </w:pPr>
          </w:p>
        </w:tc>
      </w:tr>
      <w:tr>
        <w:tblPrEx>
          <w:tblCellMar>
            <w:top w:w="0" w:type="dxa"/>
            <w:left w:w="108" w:type="dxa"/>
            <w:bottom w:w="0" w:type="dxa"/>
            <w:right w:w="108" w:type="dxa"/>
          </w:tblCellMar>
        </w:tblPrEx>
        <w:trPr>
          <w:trHeight w:val="1440"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15</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安全宣贯及培训</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12月前完成</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一年两次</w:t>
            </w:r>
          </w:p>
        </w:tc>
        <w:tc>
          <w:tcPr>
            <w:tcW w:w="21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以多形式开展网络安全知识宣传，并贯彻落实，定期对医院信息科相关人员提供信息安全技术培训，提升医院信息安全意识和技术知识水平，培训对象包括医院系统管理员、网络管理员、数据库管理员、安全审计员等专业技术人员，培训内容包括但不限于国家等级保护流程与相关内容、医疗行业等级保护建设案例分享、医疗行业网站建设和漏洞防范介绍等。</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hint="eastAsia" w:cs="宋体"/>
                <w:color w:val="000000"/>
                <w:kern w:val="0"/>
                <w:sz w:val="20"/>
                <w:szCs w:val="20"/>
              </w:rPr>
            </w:pPr>
          </w:p>
        </w:tc>
      </w:tr>
      <w:tr>
        <w:tblPrEx>
          <w:tblCellMar>
            <w:top w:w="0" w:type="dxa"/>
            <w:left w:w="108" w:type="dxa"/>
            <w:bottom w:w="0" w:type="dxa"/>
            <w:right w:w="108" w:type="dxa"/>
          </w:tblCellMar>
        </w:tblPrEx>
        <w:trPr>
          <w:trHeight w:val="960"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16</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安全制度建设</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项目启动后的第5个月内完成</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不少于一次</w:t>
            </w:r>
          </w:p>
        </w:tc>
        <w:tc>
          <w:tcPr>
            <w:tcW w:w="21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结合院方信息安全的实际情况，为院方提供信息安全制度建设服务，服务内容包括但不限于网络安全工作总体方针和安全策略、安全管理组织规范、外部人员访问管理制度、移动存储设备的使用管理制度、安全事件报告和处置制度、恶意代码防范管理制度等。</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hint="eastAsia" w:cs="宋体"/>
                <w:color w:val="000000"/>
                <w:kern w:val="0"/>
                <w:sz w:val="20"/>
                <w:szCs w:val="20"/>
              </w:rPr>
            </w:pPr>
          </w:p>
        </w:tc>
      </w:tr>
      <w:tr>
        <w:tblPrEx>
          <w:tblCellMar>
            <w:top w:w="0" w:type="dxa"/>
            <w:left w:w="108" w:type="dxa"/>
            <w:bottom w:w="0" w:type="dxa"/>
            <w:right w:w="108" w:type="dxa"/>
          </w:tblCellMar>
        </w:tblPrEx>
        <w:trPr>
          <w:trHeight w:val="274"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17</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新系统上线安全评估</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按需服务</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不限次数</w:t>
            </w:r>
          </w:p>
        </w:tc>
        <w:tc>
          <w:tcPr>
            <w:tcW w:w="21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服务商需提供新系统上线安全评估服务，确保新系统能够安全、稳定地运行，防止潜在的安全风险。</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1、收集信息：收集系统相关信息，如系统架构、设计文档、安全策略等。这些信息将作为评估的基础，帮助评估人员更好地了解系统的特点和安全需求。</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2、漏洞扫描和渗透测试：使用工具对系统进行漏洞扫描，发现系统存在的漏洞。同时，进行渗透测试，模拟攻击者对系统进行攻击，评估系统的抵抗能力。</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3、安全配置检查：检查服务器的安全配置，确保系统已经按照最佳实践和等保基线标准进行配置。</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4、出具安全评估报告：将渗透测试、漏扫、安全配置检查相关检查结果整理成安全评估报告，报告应详细记录评估过程、发现的问题、风险等级以及建议的修复措施等。</w:t>
            </w:r>
          </w:p>
          <w:p>
            <w:pPr>
              <w:widowControl/>
              <w:adjustRightInd w:val="0"/>
              <w:snapToGrid w:val="0"/>
              <w:spacing w:line="240" w:lineRule="auto"/>
              <w:ind w:firstLine="0" w:firstLineChars="0"/>
              <w:jc w:val="left"/>
              <w:rPr>
                <w:rFonts w:cs="宋体"/>
                <w:color w:val="000000"/>
                <w:kern w:val="0"/>
                <w:sz w:val="20"/>
                <w:szCs w:val="20"/>
              </w:rPr>
            </w:pPr>
            <w:r>
              <w:rPr>
                <w:rFonts w:cs="宋体"/>
                <w:color w:val="000000"/>
                <w:kern w:val="0"/>
                <w:sz w:val="20"/>
                <w:szCs w:val="20"/>
              </w:rPr>
              <w:t>5、漏洞修复验证：使用与发现漏洞时相同的工具和方法，对修复后的系统进行测试，确保漏洞已被成功修复。</w:t>
            </w:r>
          </w:p>
        </w:tc>
        <w:tc>
          <w:tcPr>
            <w:tcW w:w="1328"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p>
        </w:tc>
      </w:tr>
      <w:tr>
        <w:tblPrEx>
          <w:tblCellMar>
            <w:top w:w="0" w:type="dxa"/>
            <w:left w:w="108" w:type="dxa"/>
            <w:bottom w:w="0" w:type="dxa"/>
            <w:right w:w="108" w:type="dxa"/>
          </w:tblCellMar>
        </w:tblPrEx>
        <w:trPr>
          <w:trHeight w:val="720" w:hRule="atLeast"/>
          <w:jc w:val="center"/>
        </w:trPr>
        <w:tc>
          <w:tcPr>
            <w:tcW w:w="250"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18</w:t>
            </w:r>
          </w:p>
        </w:tc>
        <w:tc>
          <w:tcPr>
            <w:tcW w:w="377"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服务器资源整合</w:t>
            </w:r>
          </w:p>
        </w:tc>
        <w:tc>
          <w:tcPr>
            <w:tcW w:w="539"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项目启动后的第3个月</w:t>
            </w:r>
          </w:p>
        </w:tc>
        <w:tc>
          <w:tcPr>
            <w:tcW w:w="36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cs="宋体"/>
                <w:color w:val="000000"/>
                <w:kern w:val="0"/>
                <w:sz w:val="20"/>
                <w:szCs w:val="20"/>
              </w:rPr>
            </w:pPr>
            <w:r>
              <w:rPr>
                <w:rFonts w:hint="eastAsia" w:cs="宋体"/>
                <w:color w:val="000000"/>
                <w:kern w:val="0"/>
                <w:sz w:val="20"/>
                <w:szCs w:val="20"/>
              </w:rPr>
              <w:t>不限次数</w:t>
            </w:r>
          </w:p>
        </w:tc>
        <w:tc>
          <w:tcPr>
            <w:tcW w:w="2142"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cs="宋体"/>
                <w:color w:val="000000"/>
                <w:kern w:val="0"/>
                <w:sz w:val="20"/>
                <w:szCs w:val="20"/>
              </w:rPr>
            </w:pPr>
            <w:r>
              <w:rPr>
                <w:rFonts w:hint="eastAsia" w:cs="宋体"/>
                <w:color w:val="000000"/>
                <w:kern w:val="0"/>
                <w:sz w:val="20"/>
                <w:szCs w:val="20"/>
              </w:rPr>
              <w:t>服务器资源整合服务主要针对监狱中心医院的服务器使用率进行资源整合，包括但不限于网站、终端管理、防病毒系统、</w:t>
            </w:r>
            <w:r>
              <w:rPr>
                <w:rFonts w:cs="宋体"/>
                <w:color w:val="000000"/>
                <w:kern w:val="0"/>
                <w:sz w:val="20"/>
                <w:szCs w:val="20"/>
              </w:rPr>
              <w:t>FTP服务、人事管理系统、监管系统、财务管理等业务系统服务器资源整合。服务商将根据用户的要求，负责完成资产梳理、思路梳理、方案出具，提前做好系统和数据备份，配置运行环境，配合厂家实施整合工作，确保各系统能够平稳、高效地整合到新的环境，保障业务的连续性和数据的安全性。</w:t>
            </w:r>
          </w:p>
        </w:tc>
        <w:tc>
          <w:tcPr>
            <w:tcW w:w="1328" w:type="pct"/>
            <w:tcBorders>
              <w:top w:val="nil"/>
              <w:left w:val="nil"/>
              <w:bottom w:val="single" w:color="000000" w:sz="4" w:space="0"/>
              <w:right w:val="single" w:color="auto" w:sz="4" w:space="0"/>
            </w:tcBorders>
            <w:shd w:val="clear" w:color="auto" w:fill="auto"/>
            <w:vAlign w:val="center"/>
          </w:tcPr>
          <w:p>
            <w:pPr>
              <w:widowControl/>
              <w:adjustRightInd w:val="0"/>
              <w:snapToGrid w:val="0"/>
              <w:spacing w:line="240" w:lineRule="auto"/>
              <w:ind w:firstLine="0" w:firstLineChars="0"/>
              <w:jc w:val="left"/>
              <w:rPr>
                <w:rFonts w:hint="eastAsia" w:cs="宋体"/>
                <w:color w:val="000000"/>
                <w:kern w:val="0"/>
                <w:sz w:val="20"/>
                <w:szCs w:val="20"/>
              </w:rPr>
            </w:pPr>
          </w:p>
        </w:tc>
      </w:tr>
      <w:tr>
        <w:tblPrEx>
          <w:tblCellMar>
            <w:top w:w="0" w:type="dxa"/>
            <w:left w:w="108" w:type="dxa"/>
            <w:bottom w:w="0" w:type="dxa"/>
            <w:right w:w="108" w:type="dxa"/>
          </w:tblCellMar>
        </w:tblPrEx>
        <w:trPr>
          <w:trHeight w:val="720" w:hRule="atLeast"/>
          <w:jc w:val="center"/>
        </w:trPr>
        <w:tc>
          <w:tcPr>
            <w:tcW w:w="3671"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240" w:lineRule="auto"/>
              <w:ind w:firstLine="0" w:firstLineChars="0"/>
              <w:jc w:val="center"/>
              <w:rPr>
                <w:rFonts w:hint="default" w:eastAsia="仿宋" w:cs="宋体"/>
                <w:color w:val="000000"/>
                <w:kern w:val="0"/>
                <w:sz w:val="20"/>
                <w:szCs w:val="20"/>
                <w:lang w:val="en-US" w:eastAsia="zh-CN"/>
              </w:rPr>
            </w:pPr>
            <w:r>
              <w:rPr>
                <w:rFonts w:hint="eastAsia" w:cs="宋体"/>
                <w:color w:val="000000"/>
                <w:kern w:val="0"/>
                <w:sz w:val="20"/>
                <w:szCs w:val="20"/>
                <w:lang w:val="en-US" w:eastAsia="zh-CN"/>
              </w:rPr>
              <w:t>费用合计</w:t>
            </w:r>
          </w:p>
        </w:tc>
        <w:tc>
          <w:tcPr>
            <w:tcW w:w="1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ind w:firstLine="0" w:firstLineChars="0"/>
              <w:jc w:val="left"/>
              <w:rPr>
                <w:rFonts w:hint="eastAsia" w:cs="宋体"/>
                <w:color w:val="000000"/>
                <w:kern w:val="0"/>
                <w:sz w:val="20"/>
                <w:szCs w:val="20"/>
              </w:rPr>
            </w:pPr>
          </w:p>
        </w:tc>
      </w:tr>
    </w:tbl>
    <w:p>
      <w:pPr>
        <w:ind w:left="0" w:leftChars="0" w:firstLine="0" w:firstLineChars="0"/>
        <w:rPr>
          <w:rFonts w:hint="eastAsia"/>
          <w:lang w:eastAsia="zh-CN"/>
        </w:rPr>
      </w:pPr>
      <w:r>
        <w:rPr>
          <w:rFonts w:hint="eastAsia"/>
          <w:lang w:eastAsia="zh-CN"/>
        </w:rPr>
        <w:t>（</w:t>
      </w:r>
      <w:r>
        <w:rPr>
          <w:rFonts w:hint="eastAsia"/>
          <w:lang w:val="en-US" w:eastAsia="zh-CN"/>
        </w:rPr>
        <w:t xml:space="preserve">公司名称：        联系人：        联系方式：      </w:t>
      </w:r>
      <w:r>
        <w:rPr>
          <w:rFonts w:hint="eastAsia"/>
          <w:lang w:eastAsia="zh-CN"/>
        </w:rPr>
        <w:t>）</w:t>
      </w:r>
    </w:p>
    <w:p>
      <w:pPr>
        <w:ind w:left="0" w:leftChars="0" w:firstLine="0" w:firstLineChars="0"/>
        <w:rPr>
          <w:rFonts w:hint="eastAsia"/>
          <w:lang w:eastAsia="zh-CN"/>
        </w:rPr>
      </w:pPr>
    </w:p>
    <w:p>
      <w:pPr>
        <w:ind w:left="0" w:leftChars="0" w:firstLine="0" w:firstLineChars="0"/>
        <w:jc w:val="right"/>
        <w:rPr>
          <w:rFonts w:hint="default"/>
          <w:lang w:val="en-US" w:eastAsia="zh-CN"/>
        </w:rPr>
      </w:pPr>
      <w:r>
        <w:rPr>
          <w:rFonts w:hint="eastAsia"/>
          <w:lang w:val="en-US" w:eastAsia="zh-CN"/>
        </w:rPr>
        <w:t xml:space="preserve">                                       XX公司（盖章）</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04B38"/>
    <w:rsid w:val="3A8E189D"/>
    <w:rsid w:val="4B196CD6"/>
    <w:rsid w:val="57F67399"/>
    <w:rsid w:val="6B693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ascii="仿宋" w:hAnsi="仿宋" w:eastAsia="仿宋" w:cstheme="minorBidi"/>
      <w:kern w:val="2"/>
      <w:sz w:val="28"/>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旧研判室04</dc:creator>
  <cp:lastModifiedBy>陈佳娟</cp:lastModifiedBy>
  <dcterms:modified xsi:type="dcterms:W3CDTF">2025-04-10T10:35:33Z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726ECEC2EA1B405986B6E11BD62BD15C</vt:lpwstr>
  </property>
</Properties>
</file>