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2"/>
        <w:rPr>
          <w:rFonts w:hint="eastAsia" w:ascii="方正小标宋简体" w:hAnsi="方正小标宋简体" w:eastAsia="方正小标宋简体" w:cs="方正小标宋简体"/>
          <w:b w:val="0"/>
          <w:bCs w:val="0"/>
          <w:i w:val="0"/>
          <w:iCs w:val="0"/>
          <w:caps w:val="0"/>
          <w:color w:val="333333"/>
          <w:spacing w:val="0"/>
          <w:sz w:val="44"/>
          <w:szCs w:val="44"/>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eastAsia="zh-CN"/>
        </w:rPr>
        <w:t>广东省</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监狱中心医院</w:t>
      </w:r>
      <w:r>
        <w:rPr>
          <w:rFonts w:hint="eastAsia" w:ascii="方正小标宋简体" w:hAnsi="方正小标宋简体" w:eastAsia="方正小标宋简体" w:cs="方正小标宋简体"/>
          <w:b w:val="0"/>
          <w:bCs w:val="0"/>
          <w:i w:val="0"/>
          <w:iCs w:val="0"/>
          <w:caps w:val="0"/>
          <w:color w:val="333333"/>
          <w:spacing w:val="0"/>
          <w:sz w:val="44"/>
          <w:szCs w:val="44"/>
        </w:rPr>
        <w:t>监管区A栋B栋C栋电梯设备购置项目</w:t>
      </w:r>
      <w:r>
        <w:rPr>
          <w:rFonts w:hint="eastAsia" w:ascii="方正小标宋简体" w:hAnsi="方正小标宋简体" w:eastAsia="方正小标宋简体" w:cs="方正小标宋简体"/>
          <w:b w:val="0"/>
          <w:bCs w:val="0"/>
          <w:i w:val="0"/>
          <w:iCs w:val="0"/>
          <w:caps w:val="0"/>
          <w:color w:val="333333"/>
          <w:spacing w:val="0"/>
          <w:sz w:val="44"/>
          <w:szCs w:val="44"/>
          <w:lang w:eastAsia="zh-CN"/>
        </w:rPr>
        <w:t>需求书</w:t>
      </w:r>
    </w:p>
    <w:p>
      <w:pPr>
        <w:pStyle w:val="2"/>
        <w:rPr>
          <w:rFonts w:hint="eastAsia" w:asciiTheme="minorEastAsia" w:hAnsiTheme="minorEastAsia" w:eastAsiaTheme="minorEastAsia" w:cstheme="minorEastAsia"/>
          <w:lang w:eastAsia="zh-CN"/>
        </w:rPr>
      </w:pPr>
      <w:bookmarkStart w:id="0" w:name="_GoBack"/>
      <w:bookmarkEnd w:id="0"/>
    </w:p>
    <w:p>
      <w:pPr>
        <w:rPr>
          <w:rFonts w:hint="eastAsia"/>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项目基本概况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val="en-US" w:eastAsia="zh-CN"/>
        </w:rPr>
        <w:t>本项目</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涉及的新电梯的设备、安装验收</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交钥匙工程费用，含一切与电梯有关的设备、材料、安装、税费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保险费、仓储费、运输到施工现场的一切运输费、装卸费、施工现场看护费、安装费、施工水电费、文明施工、</w:t>
      </w:r>
      <w:r>
        <w:rPr>
          <w:rFonts w:hint="eastAsia" w:asciiTheme="minorEastAsia" w:hAnsiTheme="minorEastAsia" w:eastAsiaTheme="minorEastAsia" w:cstheme="minorEastAsia"/>
          <w:sz w:val="24"/>
          <w:szCs w:val="24"/>
          <w:lang w:eastAsia="zh-CN"/>
        </w:rPr>
        <w:t>井道局部修整、</w:t>
      </w:r>
      <w:r>
        <w:rPr>
          <w:rFonts w:hint="eastAsia" w:asciiTheme="minorEastAsia" w:hAnsiTheme="minorEastAsia" w:eastAsiaTheme="minorEastAsia" w:cstheme="minorEastAsia"/>
          <w:sz w:val="24"/>
          <w:szCs w:val="24"/>
        </w:rPr>
        <w:t>设备安全与施工人员及其他人员的人身安全保险费、安装指导费及最终调试费、办理取得当地政府技术监督局有关部门核发的使用证、合格证及费用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竣工取得使用证、</w:t>
      </w: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年的</w:t>
      </w:r>
      <w:r>
        <w:rPr>
          <w:rFonts w:hint="eastAsia" w:asciiTheme="minorEastAsia" w:hAnsiTheme="minorEastAsia" w:eastAsiaTheme="minorEastAsia" w:cstheme="minorEastAsia"/>
          <w:b/>
          <w:bCs/>
          <w:sz w:val="24"/>
          <w:szCs w:val="24"/>
          <w:lang w:eastAsia="zh-CN"/>
        </w:rPr>
        <w:t>质保以及维修保养、</w:t>
      </w:r>
      <w:r>
        <w:rPr>
          <w:rFonts w:hint="eastAsia" w:asciiTheme="minorEastAsia" w:hAnsiTheme="minorEastAsia" w:eastAsiaTheme="minorEastAsia" w:cstheme="minorEastAsia"/>
          <w:b/>
          <w:bCs/>
          <w:sz w:val="24"/>
          <w:szCs w:val="24"/>
          <w:lang w:val="en-US" w:eastAsia="zh-CN"/>
        </w:rPr>
        <w:t>年检费</w:t>
      </w:r>
      <w:r>
        <w:rPr>
          <w:rFonts w:hint="eastAsia" w:asciiTheme="minorEastAsia" w:hAnsiTheme="minorEastAsia" w:eastAsiaTheme="minorEastAsia" w:cstheme="minorEastAsia"/>
          <w:b/>
          <w:bCs/>
          <w:sz w:val="24"/>
          <w:szCs w:val="24"/>
          <w:lang w:eastAsia="zh-CN"/>
        </w:rPr>
        <w:t>等</w:t>
      </w:r>
      <w:r>
        <w:rPr>
          <w:rFonts w:hint="eastAsia" w:asciiTheme="minorEastAsia" w:hAnsiTheme="minorEastAsia" w:eastAsiaTheme="minorEastAsia" w:cstheme="minorEastAsia"/>
          <w:b/>
          <w:bCs/>
          <w:sz w:val="24"/>
          <w:szCs w:val="24"/>
        </w:rPr>
        <w:t>一切不可预见的费用</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textAlignment w:val="auto"/>
        <w:outlineLvl w:val="9"/>
        <w:rPr>
          <w:rFonts w:hint="eastAsia"/>
          <w:lang w:val="en-US" w:eastAsia="zh-CN"/>
        </w:rPr>
      </w:pPr>
      <w:r>
        <w:rPr>
          <w:rFonts w:hint="eastAsia" w:asciiTheme="minorEastAsia" w:hAnsiTheme="minorEastAsia" w:eastAsiaTheme="minorEastAsia" w:cstheme="minorEastAsia"/>
          <w:b/>
          <w:bCs/>
          <w:sz w:val="24"/>
          <w:szCs w:val="24"/>
          <w:lang w:val="en-US" w:eastAsia="zh-CN"/>
        </w:rPr>
        <w:t>电梯采购范围</w:t>
      </w: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4"/>
        <w:gridCol w:w="2841"/>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555" w:type="dxa"/>
            <w:vAlign w:val="center"/>
          </w:tcPr>
          <w:p>
            <w:pPr>
              <w:autoSpaceDE w:val="0"/>
              <w:autoSpaceDN w:val="0"/>
              <w:spacing w:line="44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采购内容</w:t>
            </w:r>
          </w:p>
        </w:tc>
        <w:tc>
          <w:tcPr>
            <w:tcW w:w="1414" w:type="dxa"/>
            <w:vAlign w:val="center"/>
          </w:tcPr>
          <w:p>
            <w:pPr>
              <w:autoSpaceDE w:val="0"/>
              <w:autoSpaceDN w:val="0"/>
              <w:spacing w:line="44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2841" w:type="dxa"/>
          </w:tcPr>
          <w:p>
            <w:pPr>
              <w:autoSpaceDE w:val="0"/>
              <w:autoSpaceDN w:val="0"/>
              <w:spacing w:line="440" w:lineRule="exact"/>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规格要求</w:t>
            </w:r>
          </w:p>
        </w:tc>
        <w:tc>
          <w:tcPr>
            <w:tcW w:w="3208" w:type="dxa"/>
            <w:vAlign w:val="center"/>
          </w:tcPr>
          <w:p>
            <w:pPr>
              <w:autoSpaceDE w:val="0"/>
              <w:autoSpaceDN w:val="0"/>
              <w:spacing w:line="440" w:lineRule="exact"/>
              <w:jc w:val="center"/>
              <w:rPr>
                <w:rFonts w:hint="eastAsia" w:asciiTheme="minorEastAsia" w:hAnsiTheme="minorEastAsia" w:eastAsiaTheme="minorEastAsia" w:cstheme="minorEastAsia"/>
                <w:b/>
                <w:color w:val="000000"/>
                <w:sz w:val="24"/>
                <w:szCs w:val="24"/>
                <w:highlight w:val="yellow"/>
              </w:rPr>
            </w:pPr>
            <w:r>
              <w:rPr>
                <w:rFonts w:hint="eastAsia" w:asciiTheme="minorEastAsia" w:hAnsiTheme="minorEastAsia" w:eastAsiaTheme="minorEastAsia" w:cstheme="minorEastAsia"/>
                <w:b/>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555" w:type="dxa"/>
            <w:vAlign w:val="center"/>
          </w:tcPr>
          <w:p>
            <w:pPr>
              <w:autoSpaceDE w:val="0"/>
              <w:autoSpaceDN w:val="0"/>
              <w:spacing w:line="4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有</w:t>
            </w:r>
            <w:r>
              <w:rPr>
                <w:rFonts w:hint="eastAsia" w:asciiTheme="minorEastAsia" w:hAnsiTheme="minorEastAsia" w:eastAsiaTheme="minorEastAsia" w:cstheme="minorEastAsia"/>
                <w:color w:val="000000"/>
                <w:sz w:val="24"/>
                <w:szCs w:val="24"/>
                <w:lang w:eastAsia="zh-CN"/>
              </w:rPr>
              <w:t>机房电梯</w:t>
            </w:r>
          </w:p>
        </w:tc>
        <w:tc>
          <w:tcPr>
            <w:tcW w:w="1414" w:type="dxa"/>
            <w:vAlign w:val="center"/>
          </w:tcPr>
          <w:p>
            <w:pPr>
              <w:autoSpaceDE w:val="0"/>
              <w:autoSpaceDN w:val="0"/>
              <w:spacing w:line="44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台</w:t>
            </w:r>
          </w:p>
        </w:tc>
        <w:tc>
          <w:tcPr>
            <w:tcW w:w="2841" w:type="dxa"/>
            <w:vAlign w:val="center"/>
          </w:tcPr>
          <w:p>
            <w:pPr>
              <w:autoSpaceDE w:val="0"/>
              <w:autoSpaceDN w:val="0"/>
              <w:spacing w:line="44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技术规格与功能表</w:t>
            </w:r>
          </w:p>
        </w:tc>
        <w:tc>
          <w:tcPr>
            <w:tcW w:w="3208" w:type="dxa"/>
            <w:vAlign w:val="center"/>
          </w:tcPr>
          <w:p>
            <w:pPr>
              <w:spacing w:line="460" w:lineRule="exac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本项目电梯供货期为</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天以内，每台电梯安装工期不大于</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天，具体安装进度由</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根据实际需要执行。</w:t>
            </w:r>
          </w:p>
        </w:tc>
      </w:tr>
    </w:tbl>
    <w:p>
      <w:pPr>
        <w:numPr>
          <w:ilvl w:val="0"/>
          <w:numId w:val="0"/>
        </w:numPr>
        <w:spacing w:line="48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三、品牌范围</w:t>
      </w:r>
    </w:p>
    <w:tbl>
      <w:tblPr>
        <w:tblStyle w:val="12"/>
        <w:tblW w:w="10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7"/>
        <w:gridCol w:w="1667"/>
        <w:gridCol w:w="1667"/>
        <w:gridCol w:w="166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667" w:type="dxa"/>
            <w:vAlign w:val="center"/>
          </w:tcPr>
          <w:p>
            <w:pPr>
              <w:pStyle w:val="13"/>
              <w:spacing w:line="240" w:lineRule="auto"/>
              <w:jc w:val="center"/>
              <w:rPr>
                <w:rFonts w:hint="eastAsia" w:asciiTheme="minorEastAsia" w:hAnsiTheme="minorEastAsia" w:eastAsiaTheme="minorEastAsia" w:cstheme="minorEastAsia"/>
                <w:b/>
                <w:bCs w:val="0"/>
                <w:sz w:val="24"/>
                <w:szCs w:val="24"/>
                <w:vertAlign w:val="baseline"/>
                <w:lang w:eastAsia="zh-CN"/>
              </w:rPr>
            </w:pPr>
            <w:r>
              <w:rPr>
                <w:rFonts w:hint="eastAsia" w:asciiTheme="minorEastAsia" w:hAnsiTheme="minorEastAsia" w:eastAsiaTheme="minorEastAsia" w:cstheme="minorEastAsia"/>
                <w:b/>
                <w:bCs w:val="0"/>
                <w:sz w:val="24"/>
                <w:szCs w:val="24"/>
                <w:vertAlign w:val="baseline"/>
                <w:lang w:val="en-US" w:eastAsia="zh-CN"/>
              </w:rPr>
              <w:t>广日</w:t>
            </w:r>
          </w:p>
        </w:tc>
        <w:tc>
          <w:tcPr>
            <w:tcW w:w="1667" w:type="dxa"/>
            <w:vAlign w:val="center"/>
          </w:tcPr>
          <w:p>
            <w:pPr>
              <w:pStyle w:val="13"/>
              <w:spacing w:line="240" w:lineRule="auto"/>
              <w:jc w:val="center"/>
              <w:rPr>
                <w:rFonts w:hint="eastAsia" w:asciiTheme="minorEastAsia" w:hAnsiTheme="minorEastAsia" w:eastAsiaTheme="minorEastAsia" w:cstheme="minorEastAsia"/>
                <w:b/>
                <w:bCs w:val="0"/>
                <w:sz w:val="24"/>
                <w:szCs w:val="24"/>
                <w:vertAlign w:val="baseline"/>
                <w:lang w:eastAsia="zh-CN"/>
              </w:rPr>
            </w:pPr>
            <w:r>
              <w:rPr>
                <w:rFonts w:hint="eastAsia" w:asciiTheme="minorEastAsia" w:hAnsiTheme="minorEastAsia" w:eastAsiaTheme="minorEastAsia" w:cstheme="minorEastAsia"/>
                <w:b/>
                <w:bCs w:val="0"/>
                <w:sz w:val="24"/>
                <w:szCs w:val="24"/>
                <w:vertAlign w:val="baseline"/>
                <w:lang w:eastAsia="zh-CN"/>
              </w:rPr>
              <w:t>三菱</w:t>
            </w:r>
          </w:p>
        </w:tc>
        <w:tc>
          <w:tcPr>
            <w:tcW w:w="1667" w:type="dxa"/>
            <w:vAlign w:val="center"/>
          </w:tcPr>
          <w:p>
            <w:pPr>
              <w:pStyle w:val="13"/>
              <w:spacing w:line="240" w:lineRule="auto"/>
              <w:ind w:firstLine="0" w:firstLineChars="0"/>
              <w:jc w:val="center"/>
              <w:rPr>
                <w:rFonts w:hint="eastAsia" w:asciiTheme="minorEastAsia" w:hAnsiTheme="minorEastAsia" w:eastAsiaTheme="minorEastAsia" w:cstheme="minorEastAsia"/>
                <w:b/>
                <w:bCs w:val="0"/>
                <w:spacing w:val="10"/>
                <w:kern w:val="0"/>
                <w:sz w:val="24"/>
                <w:szCs w:val="24"/>
                <w:vertAlign w:val="baseline"/>
                <w:lang w:val="en-US" w:eastAsia="zh-CN" w:bidi="ar-SA"/>
              </w:rPr>
            </w:pPr>
            <w:r>
              <w:rPr>
                <w:rFonts w:hint="eastAsia" w:asciiTheme="minorEastAsia" w:hAnsiTheme="minorEastAsia" w:eastAsiaTheme="minorEastAsia" w:cstheme="minorEastAsia"/>
                <w:b/>
                <w:bCs w:val="0"/>
                <w:sz w:val="24"/>
                <w:szCs w:val="24"/>
                <w:vertAlign w:val="baseline"/>
                <w:lang w:eastAsia="zh-CN"/>
              </w:rPr>
              <w:t>日立</w:t>
            </w:r>
          </w:p>
        </w:tc>
        <w:tc>
          <w:tcPr>
            <w:tcW w:w="1667" w:type="dxa"/>
            <w:vAlign w:val="center"/>
          </w:tcPr>
          <w:p>
            <w:pPr>
              <w:pStyle w:val="13"/>
              <w:spacing w:line="240" w:lineRule="auto"/>
              <w:jc w:val="center"/>
              <w:rPr>
                <w:rFonts w:hint="default" w:asciiTheme="minorEastAsia" w:hAnsiTheme="minorEastAsia" w:eastAsiaTheme="minorEastAsia" w:cstheme="minorEastAsia"/>
                <w:b/>
                <w:bCs w:val="0"/>
                <w:sz w:val="24"/>
                <w:szCs w:val="24"/>
                <w:vertAlign w:val="baseline"/>
                <w:lang w:val="en-US" w:eastAsia="zh-CN"/>
              </w:rPr>
            </w:pPr>
            <w:r>
              <w:rPr>
                <w:rFonts w:hint="eastAsia" w:asciiTheme="minorEastAsia" w:hAnsiTheme="minorEastAsia" w:eastAsiaTheme="minorEastAsia" w:cstheme="minorEastAsia"/>
                <w:b/>
                <w:bCs w:val="0"/>
                <w:sz w:val="24"/>
                <w:szCs w:val="24"/>
                <w:vertAlign w:val="baseline"/>
                <w:lang w:eastAsia="zh-CN"/>
              </w:rPr>
              <w:t>奥的斯</w:t>
            </w:r>
          </w:p>
        </w:tc>
        <w:tc>
          <w:tcPr>
            <w:tcW w:w="1667" w:type="dxa"/>
            <w:vAlign w:val="center"/>
          </w:tcPr>
          <w:p>
            <w:pPr>
              <w:pStyle w:val="13"/>
              <w:spacing w:line="240" w:lineRule="auto"/>
              <w:jc w:val="center"/>
              <w:rPr>
                <w:rFonts w:hint="eastAsia" w:asciiTheme="minorEastAsia" w:hAnsiTheme="minorEastAsia" w:eastAsiaTheme="minorEastAsia" w:cstheme="minorEastAsia"/>
                <w:b/>
                <w:bCs w:val="0"/>
                <w:sz w:val="24"/>
                <w:szCs w:val="24"/>
                <w:vertAlign w:val="baseline"/>
                <w:lang w:eastAsia="zh-CN"/>
              </w:rPr>
            </w:pPr>
            <w:r>
              <w:rPr>
                <w:rFonts w:hint="eastAsia" w:asciiTheme="minorEastAsia" w:hAnsiTheme="minorEastAsia" w:eastAsiaTheme="minorEastAsia" w:cstheme="minorEastAsia"/>
                <w:b/>
                <w:bCs w:val="0"/>
                <w:sz w:val="24"/>
                <w:szCs w:val="24"/>
                <w:vertAlign w:val="baseline"/>
                <w:lang w:eastAsia="zh-CN"/>
              </w:rPr>
              <w:t>迅达</w:t>
            </w:r>
          </w:p>
        </w:tc>
        <w:tc>
          <w:tcPr>
            <w:tcW w:w="1672" w:type="dxa"/>
            <w:vAlign w:val="center"/>
          </w:tcPr>
          <w:p>
            <w:pPr>
              <w:pStyle w:val="13"/>
              <w:spacing w:line="240" w:lineRule="auto"/>
              <w:jc w:val="center"/>
              <w:rPr>
                <w:rFonts w:hint="eastAsia" w:asciiTheme="minorEastAsia" w:hAnsiTheme="minorEastAsia" w:eastAsiaTheme="minorEastAsia" w:cstheme="minorEastAsia"/>
                <w:b/>
                <w:bCs w:val="0"/>
                <w:sz w:val="24"/>
                <w:szCs w:val="24"/>
                <w:vertAlign w:val="baseline"/>
                <w:lang w:eastAsia="zh-CN"/>
              </w:rPr>
            </w:pPr>
            <w:r>
              <w:rPr>
                <w:rFonts w:hint="eastAsia" w:asciiTheme="minorEastAsia" w:hAnsiTheme="minorEastAsia" w:eastAsiaTheme="minorEastAsia" w:cstheme="minorEastAsia"/>
                <w:b/>
                <w:bCs w:val="0"/>
                <w:sz w:val="24"/>
                <w:szCs w:val="24"/>
                <w:vertAlign w:val="baseline"/>
                <w:lang w:eastAsia="zh-CN"/>
              </w:rPr>
              <w:t>通力</w:t>
            </w:r>
          </w:p>
        </w:tc>
      </w:tr>
    </w:tbl>
    <w:p>
      <w:pPr>
        <w:numPr>
          <w:ilvl w:val="0"/>
          <w:numId w:val="0"/>
        </w:numPr>
        <w:spacing w:after="120" w:line="36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四、技术要求</w:t>
      </w:r>
    </w:p>
    <w:p>
      <w:pPr>
        <w:numPr>
          <w:ilvl w:val="0"/>
          <w:numId w:val="0"/>
        </w:numPr>
        <w:spacing w:after="120"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（一）电梯技术规格</w:t>
      </w:r>
    </w:p>
    <w:tbl>
      <w:tblPr>
        <w:tblStyle w:val="11"/>
        <w:tblW w:w="8440" w:type="dxa"/>
        <w:tblInd w:w="0" w:type="dxa"/>
        <w:tblLayout w:type="fixed"/>
        <w:tblCellMar>
          <w:top w:w="0" w:type="dxa"/>
          <w:left w:w="108" w:type="dxa"/>
          <w:bottom w:w="0" w:type="dxa"/>
          <w:right w:w="108" w:type="dxa"/>
        </w:tblCellMar>
      </w:tblPr>
      <w:tblGrid>
        <w:gridCol w:w="385"/>
        <w:gridCol w:w="1265"/>
        <w:gridCol w:w="1358"/>
        <w:gridCol w:w="52"/>
        <w:gridCol w:w="1305"/>
        <w:gridCol w:w="1"/>
        <w:gridCol w:w="1358"/>
        <w:gridCol w:w="6"/>
        <w:gridCol w:w="1352"/>
        <w:gridCol w:w="13"/>
        <w:gridCol w:w="1345"/>
      </w:tblGrid>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电梯</w:t>
            </w:r>
            <w:r>
              <w:rPr>
                <w:rFonts w:hint="eastAsia" w:asciiTheme="minorEastAsia" w:hAnsiTheme="minorEastAsia" w:eastAsiaTheme="minorEastAsia" w:cstheme="minorEastAsia"/>
                <w:sz w:val="24"/>
                <w:szCs w:val="24"/>
                <w:lang w:eastAsia="zh-CN"/>
              </w:rPr>
              <w:t>位置</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A栋</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B栋</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B栋</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C栋</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C栋</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电梯用途</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货梯</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客梯</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客梯</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客梯</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污物梯</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电梯类型</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有</w:t>
            </w:r>
            <w:r>
              <w:rPr>
                <w:rFonts w:hint="eastAsia" w:asciiTheme="minorEastAsia" w:hAnsiTheme="minorEastAsia" w:eastAsiaTheme="minorEastAsia" w:cstheme="minorEastAsia"/>
                <w:color w:val="000000"/>
                <w:sz w:val="24"/>
                <w:szCs w:val="24"/>
                <w:lang w:eastAsia="zh-CN"/>
              </w:rPr>
              <w:t>机房电梯</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有</w:t>
            </w:r>
            <w:r>
              <w:rPr>
                <w:rFonts w:hint="eastAsia" w:asciiTheme="minorEastAsia" w:hAnsiTheme="minorEastAsia" w:eastAsiaTheme="minorEastAsia" w:cstheme="minorEastAsia"/>
                <w:color w:val="000000"/>
                <w:sz w:val="24"/>
                <w:szCs w:val="24"/>
                <w:lang w:eastAsia="zh-CN"/>
              </w:rPr>
              <w:t>机房电梯</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有</w:t>
            </w:r>
            <w:r>
              <w:rPr>
                <w:rFonts w:hint="eastAsia" w:asciiTheme="minorEastAsia" w:hAnsiTheme="minorEastAsia" w:eastAsiaTheme="minorEastAsia" w:cstheme="minorEastAsia"/>
                <w:color w:val="000000"/>
                <w:sz w:val="24"/>
                <w:szCs w:val="24"/>
                <w:lang w:eastAsia="zh-CN"/>
              </w:rPr>
              <w:t>机房电梯</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有</w:t>
            </w:r>
            <w:r>
              <w:rPr>
                <w:rFonts w:hint="eastAsia" w:asciiTheme="minorEastAsia" w:hAnsiTheme="minorEastAsia" w:eastAsiaTheme="minorEastAsia" w:cstheme="minorEastAsia"/>
                <w:color w:val="000000"/>
                <w:sz w:val="24"/>
                <w:szCs w:val="24"/>
                <w:lang w:eastAsia="zh-CN"/>
              </w:rPr>
              <w:t>机房电梯</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有</w:t>
            </w:r>
            <w:r>
              <w:rPr>
                <w:rFonts w:hint="eastAsia" w:asciiTheme="minorEastAsia" w:hAnsiTheme="minorEastAsia" w:eastAsiaTheme="minorEastAsia" w:cstheme="minorEastAsia"/>
                <w:color w:val="000000"/>
                <w:sz w:val="24"/>
                <w:szCs w:val="24"/>
                <w:lang w:eastAsia="zh-CN"/>
              </w:rPr>
              <w:t>机房电梯</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电梯数量</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层/站数</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设计载重(Kg)</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1050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1050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1800</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设计速度(m/s)</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FF0000"/>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尺寸</w:t>
            </w:r>
            <w:r>
              <w:rPr>
                <w:rFonts w:hint="eastAsia" w:asciiTheme="minorEastAsia" w:hAnsiTheme="minorEastAsia" w:eastAsiaTheme="minorEastAsia" w:cstheme="minorEastAsia"/>
                <w:sz w:val="24"/>
                <w:szCs w:val="24"/>
              </w:rPr>
              <w:t>(m)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2.1</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2.3</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1.9</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3</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提升高度(m)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7.5</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15.3</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15.3</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底坑深度(mm)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1600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1600</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1600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1700</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顶层高度(mm)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rPr>
            </w:pPr>
            <w:r>
              <w:rPr>
                <w:rFonts w:hint="eastAsia" w:asciiTheme="minorEastAsia" w:hAnsiTheme="minorEastAsia" w:eastAsiaTheme="minorEastAsia" w:cstheme="minorEastAsia"/>
                <w:color w:val="auto"/>
                <w:sz w:val="24"/>
                <w:szCs w:val="24"/>
                <w:shd w:val="clear" w:color="auto" w:fill="auto"/>
                <w:lang w:val="en-US" w:eastAsia="zh-CN"/>
              </w:rPr>
              <w:t>4900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4900</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4900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4800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4800</w:t>
            </w:r>
          </w:p>
        </w:tc>
      </w:tr>
      <w:tr>
        <w:tblPrEx>
          <w:tblLayout w:type="fixed"/>
          <w:tblCellMar>
            <w:top w:w="0" w:type="dxa"/>
            <w:left w:w="108" w:type="dxa"/>
            <w:bottom w:w="0" w:type="dxa"/>
            <w:right w:w="108" w:type="dxa"/>
          </w:tblCellMar>
        </w:tblPrEx>
        <w:trPr>
          <w:trHeight w:val="519"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井道尺寸(宽mm×深mm)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2300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2100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1900</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2000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2300</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开门方式</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左旁开</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开门尺寸[宽*高(mm)]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900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2100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2100</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900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2100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2100</w:t>
            </w:r>
          </w:p>
        </w:tc>
      </w:tr>
      <w:tr>
        <w:tblPrEx>
          <w:tblLayout w:type="fixed"/>
          <w:tblCellMar>
            <w:top w:w="0" w:type="dxa"/>
            <w:left w:w="108" w:type="dxa"/>
            <w:bottom w:w="0" w:type="dxa"/>
            <w:right w:w="108" w:type="dxa"/>
          </w:tblCellMar>
        </w:tblPrEx>
        <w:trPr>
          <w:trHeight w:val="9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消防电梯</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是（</w:t>
            </w:r>
            <w:r>
              <w:rPr>
                <w:rFonts w:hint="eastAsia" w:asciiTheme="minorEastAsia" w:hAnsiTheme="minorEastAsia" w:eastAsiaTheme="minorEastAsia" w:cstheme="minorEastAsia"/>
                <w:color w:val="auto"/>
                <w:sz w:val="24"/>
                <w:szCs w:val="24"/>
                <w:shd w:val="clear" w:color="auto" w:fill="auto"/>
                <w:lang w:val="en-US" w:eastAsia="zh-CN"/>
              </w:rPr>
              <w:t>配置消防应急开关，厅门耐火2小时</w:t>
            </w:r>
            <w:r>
              <w:rPr>
                <w:rFonts w:hint="eastAsia" w:asciiTheme="minorEastAsia" w:hAnsiTheme="minorEastAsia" w:eastAsiaTheme="minorEastAsia" w:cstheme="minorEastAsia"/>
                <w:color w:val="auto"/>
                <w:sz w:val="24"/>
                <w:szCs w:val="24"/>
                <w:shd w:val="clear" w:color="auto" w:fill="auto"/>
                <w:lang w:eastAsia="zh-CN"/>
              </w:rPr>
              <w:t>）</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无障碍</w:t>
            </w:r>
            <w:r>
              <w:rPr>
                <w:rFonts w:hint="eastAsia" w:asciiTheme="minorEastAsia" w:hAnsiTheme="minorEastAsia" w:eastAsiaTheme="minorEastAsia" w:cstheme="minorEastAsia"/>
                <w:color w:val="auto"/>
                <w:sz w:val="24"/>
                <w:szCs w:val="24"/>
                <w:highlight w:val="none"/>
              </w:rPr>
              <w:t>电梯</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否</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控制方式</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单控</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驱动方式</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auto"/>
                <w:lang w:val="en-US" w:eastAsia="zh-CN"/>
              </w:rPr>
              <w:t>微机控制</w:t>
            </w:r>
            <w:r>
              <w:rPr>
                <w:rFonts w:hint="eastAsia" w:asciiTheme="minorEastAsia" w:hAnsiTheme="minorEastAsia" w:eastAsiaTheme="minorEastAsia" w:cstheme="minorEastAsia"/>
                <w:color w:val="auto"/>
                <w:sz w:val="24"/>
                <w:szCs w:val="24"/>
                <w:shd w:val="clear" w:color="auto" w:fill="auto"/>
              </w:rPr>
              <w:t>交流变频变压调速</w:t>
            </w:r>
          </w:p>
        </w:tc>
      </w:tr>
      <w:tr>
        <w:tblPrEx>
          <w:tblLayout w:type="fixed"/>
          <w:tblCellMar>
            <w:top w:w="0" w:type="dxa"/>
            <w:left w:w="108" w:type="dxa"/>
            <w:bottom w:w="0" w:type="dxa"/>
            <w:right w:w="108" w:type="dxa"/>
          </w:tblCellMar>
        </w:tblPrEx>
        <w:trPr>
          <w:trHeight w:val="1117"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控制系统</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shd w:val="clear" w:color="auto" w:fill="auto"/>
              </w:rPr>
              <w:t>双32位CPU，全数字化处理，系统技术开放，不能加密，控制柜与投标厂家品牌一致,其中控制柜内的控制主板和变频驱动板是所投品牌电梯厂家自行设计制造</w:t>
            </w:r>
            <w:r>
              <w:rPr>
                <w:rFonts w:hint="eastAsia" w:asciiTheme="minorEastAsia" w:hAnsiTheme="minorEastAsia" w:eastAsiaTheme="minorEastAsia" w:cstheme="minorEastAsia"/>
                <w:b w:val="0"/>
                <w:bCs w:val="0"/>
                <w:color w:val="auto"/>
                <w:sz w:val="24"/>
                <w:szCs w:val="24"/>
                <w:highlight w:val="none"/>
                <w:shd w:val="clear" w:color="auto" w:fill="auto"/>
                <w:lang w:eastAsia="zh-CN"/>
              </w:rPr>
              <w:t>。控制柜必须能直接并完全显示故障码，如无法显示，供应商必须免费提供故障码读取设备</w:t>
            </w:r>
          </w:p>
        </w:tc>
      </w:tr>
      <w:tr>
        <w:tblPrEx>
          <w:tblLayout w:type="fixed"/>
          <w:tblCellMar>
            <w:top w:w="0" w:type="dxa"/>
            <w:left w:w="108" w:type="dxa"/>
            <w:bottom w:w="0" w:type="dxa"/>
            <w:right w:w="108" w:type="dxa"/>
          </w:tblCellMar>
        </w:tblPrEx>
        <w:trPr>
          <w:trHeight w:val="857"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电源</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color="auto" w:fill="auto"/>
              </w:rPr>
              <w:t>动力电源：三相四线段交流380V，50Hz；照明电源：单相220V，50Hz</w:t>
            </w:r>
          </w:p>
        </w:tc>
      </w:tr>
      <w:tr>
        <w:tblPrEx>
          <w:tblLayout w:type="fixed"/>
          <w:tblCellMar>
            <w:top w:w="0" w:type="dxa"/>
            <w:left w:w="108" w:type="dxa"/>
            <w:bottom w:w="0" w:type="dxa"/>
            <w:right w:w="108" w:type="dxa"/>
          </w:tblCellMar>
        </w:tblPrEx>
        <w:trPr>
          <w:trHeight w:val="857"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曳引机</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color="auto" w:fill="auto"/>
              </w:rPr>
              <w:t>永磁同步无齿轮曳引机，且曳引机与投标厂家品牌一致（须提供特种设备型式试验合格证）</w:t>
            </w:r>
          </w:p>
        </w:tc>
      </w:tr>
      <w:tr>
        <w:tblPrEx>
          <w:tblLayout w:type="fixed"/>
          <w:tblCellMar>
            <w:top w:w="0" w:type="dxa"/>
            <w:left w:w="108" w:type="dxa"/>
            <w:bottom w:w="0" w:type="dxa"/>
            <w:right w:w="108" w:type="dxa"/>
          </w:tblCellMar>
        </w:tblPrEx>
        <w:trPr>
          <w:trHeight w:val="923"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门机系统</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shd w:val="clear" w:color="auto" w:fill="auto"/>
              </w:rPr>
              <w:t>采用VVVF变频变压无连杆永磁同步门机且门机控制所有电路板均为所投品牌电梯厂家自行设计制造</w:t>
            </w:r>
          </w:p>
        </w:tc>
      </w:tr>
      <w:tr>
        <w:tblPrEx>
          <w:tblLayout w:type="fixed"/>
          <w:tblCellMar>
            <w:top w:w="0" w:type="dxa"/>
            <w:left w:w="108" w:type="dxa"/>
            <w:bottom w:w="0" w:type="dxa"/>
            <w:right w:w="108" w:type="dxa"/>
          </w:tblCellMar>
        </w:tblPrEx>
        <w:trPr>
          <w:trHeight w:val="857" w:hRule="atLeast"/>
        </w:trPr>
        <w:tc>
          <w:tcPr>
            <w:tcW w:w="385" w:type="dxa"/>
            <w:vMerge w:val="restart"/>
            <w:tcBorders>
              <w:top w:val="single" w:color="000000" w:sz="4" w:space="0"/>
              <w:left w:val="single" w:color="000000" w:sz="4" w:space="0"/>
              <w:right w:val="single" w:color="000000" w:sz="4" w:space="0"/>
            </w:tcBorders>
            <w:tcMar>
              <w:top w:w="0" w:type="dxa"/>
              <w:left w:w="28" w:type="dxa"/>
              <w:bottom w:w="0" w:type="dxa"/>
              <w:right w:w="28" w:type="dxa"/>
            </w:tcMar>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轿厢</w:t>
            </w:r>
          </w:p>
          <w:p>
            <w:pPr>
              <w:spacing w:line="360" w:lineRule="auto"/>
              <w:jc w:val="center"/>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轿厢</w:t>
            </w:r>
            <w:r>
              <w:rPr>
                <w:rFonts w:hint="eastAsia" w:asciiTheme="minorEastAsia" w:hAnsiTheme="minorEastAsia" w:eastAsiaTheme="minorEastAsia" w:cstheme="minorEastAsia"/>
                <w:sz w:val="24"/>
                <w:szCs w:val="24"/>
                <w:lang w:eastAsia="zh-CN"/>
              </w:rPr>
              <w:t>尺寸（</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eastAsia="zh-CN"/>
              </w:rPr>
              <w:t>）</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1550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1350</w:t>
            </w:r>
          </w:p>
        </w:tc>
        <w:tc>
          <w:tcPr>
            <w:tcW w:w="13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1350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1500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2500</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轿厢侧壁</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轿厢扶手</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两侧装设轿厢扶手，材质为全发纹不锈钢（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轿厢门</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轿厢天花</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照明：中央直接照明+两侧辅助照明</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轿厢地板</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大理石或花岗岩拼花地板</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轿厢踏板</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硬质铝型材</w:t>
            </w:r>
          </w:p>
        </w:tc>
      </w:tr>
      <w:tr>
        <w:tblPrEx>
          <w:tblLayout w:type="fixed"/>
          <w:tblCellMar>
            <w:top w:w="0" w:type="dxa"/>
            <w:left w:w="108" w:type="dxa"/>
            <w:bottom w:w="0" w:type="dxa"/>
            <w:right w:w="108" w:type="dxa"/>
          </w:tblCellMar>
        </w:tblPrEx>
        <w:trPr>
          <w:trHeight w:val="374"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轿内净高(吊顶后)</w:t>
            </w:r>
          </w:p>
        </w:tc>
        <w:tc>
          <w:tcPr>
            <w:tcW w:w="5445"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2450</w:t>
            </w:r>
            <w:r>
              <w:rPr>
                <w:rFonts w:hint="eastAsia" w:asciiTheme="minorEastAsia" w:hAnsiTheme="minorEastAsia" w:eastAsiaTheme="minorEastAsia" w:cstheme="minorEastAsia"/>
                <w:color w:val="auto"/>
                <w:sz w:val="24"/>
                <w:szCs w:val="24"/>
              </w:rPr>
              <w:t>mm</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2350</w:t>
            </w:r>
            <w:r>
              <w:rPr>
                <w:rFonts w:hint="eastAsia" w:asciiTheme="minorEastAsia" w:hAnsiTheme="minorEastAsia" w:eastAsiaTheme="minorEastAsia" w:cstheme="minorEastAsia"/>
                <w:color w:val="auto"/>
                <w:sz w:val="24"/>
                <w:szCs w:val="24"/>
              </w:rPr>
              <w:t>mm</w:t>
            </w:r>
          </w:p>
        </w:tc>
      </w:tr>
      <w:tr>
        <w:tblPrEx>
          <w:tblLayout w:type="fixed"/>
          <w:tblCellMar>
            <w:top w:w="0" w:type="dxa"/>
            <w:left w:w="108" w:type="dxa"/>
            <w:bottom w:w="0" w:type="dxa"/>
            <w:right w:w="108" w:type="dxa"/>
          </w:tblCellMar>
        </w:tblPrEx>
        <w:trPr>
          <w:trHeight w:val="450" w:hRule="atLeast"/>
        </w:trPr>
        <w:tc>
          <w:tcPr>
            <w:tcW w:w="385" w:type="dxa"/>
            <w:vMerge w:val="restart"/>
            <w:tcBorders>
              <w:top w:val="single" w:color="000000" w:sz="4" w:space="0"/>
              <w:left w:val="single" w:color="000000" w:sz="4" w:space="0"/>
              <w:right w:val="single" w:color="000000" w:sz="4" w:space="0"/>
            </w:tcBorders>
            <w:tcMar>
              <w:top w:w="0" w:type="dxa"/>
              <w:left w:w="28" w:type="dxa"/>
              <w:bottom w:w="0" w:type="dxa"/>
              <w:right w:w="28" w:type="dxa"/>
            </w:tcMar>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候梯厅</w:t>
            </w: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门套</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全发纹不锈钢小门套（</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p>
        </w:tc>
      </w:tr>
      <w:tr>
        <w:tblPrEx>
          <w:tblLayout w:type="fixed"/>
          <w:tblCellMar>
            <w:top w:w="0" w:type="dxa"/>
            <w:left w:w="108" w:type="dxa"/>
            <w:bottom w:w="0" w:type="dxa"/>
            <w:right w:w="108" w:type="dxa"/>
          </w:tblCellMar>
        </w:tblPrEx>
        <w:trPr>
          <w:trHeight w:val="520" w:hRule="atLeast"/>
        </w:trPr>
        <w:tc>
          <w:tcPr>
            <w:tcW w:w="385" w:type="dxa"/>
            <w:vMerge w:val="continue"/>
            <w:tcBorders>
              <w:left w:val="single" w:color="000000" w:sz="4" w:space="0"/>
              <w:right w:val="single" w:color="000000" w:sz="4" w:space="0"/>
            </w:tcBorders>
            <w:vAlign w:val="center"/>
          </w:tcPr>
          <w:p>
            <w:pPr>
              <w:widowControl/>
              <w:rPr>
                <w:rFonts w:hint="eastAsia" w:asciiTheme="minorEastAsia" w:hAnsiTheme="minorEastAsia" w:eastAsiaTheme="minorEastAsia" w:cstheme="minorEastAsia"/>
                <w:b/>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厅门</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r>
              <w:rPr>
                <w:rFonts w:hint="eastAsia" w:asciiTheme="minorEastAsia" w:hAnsiTheme="minorEastAsia" w:eastAsiaTheme="minorEastAsia" w:cstheme="minorEastAsia"/>
                <w:color w:val="auto"/>
                <w:sz w:val="24"/>
                <w:szCs w:val="24"/>
                <w:lang w:val="en-US" w:eastAsia="zh-CN"/>
              </w:rPr>
              <w:t>完整性+隔热性防火门</w:t>
            </w:r>
          </w:p>
        </w:tc>
      </w:tr>
      <w:tr>
        <w:tblPrEx>
          <w:tblLayout w:type="fixed"/>
          <w:tblCellMar>
            <w:top w:w="0" w:type="dxa"/>
            <w:left w:w="108" w:type="dxa"/>
            <w:bottom w:w="0" w:type="dxa"/>
            <w:right w:w="108" w:type="dxa"/>
          </w:tblCellMar>
        </w:tblPrEx>
        <w:trPr>
          <w:trHeight w:val="450" w:hRule="atLeast"/>
        </w:trPr>
        <w:tc>
          <w:tcPr>
            <w:tcW w:w="385" w:type="dxa"/>
            <w:vMerge w:val="continue"/>
            <w:tcBorders>
              <w:left w:val="single" w:color="000000" w:sz="4" w:space="0"/>
              <w:bottom w:val="single" w:color="000000" w:sz="4" w:space="0"/>
              <w:right w:val="single" w:color="000000" w:sz="4" w:space="0"/>
            </w:tcBorders>
            <w:vAlign w:val="center"/>
          </w:tcPr>
          <w:p>
            <w:pPr>
              <w:widowControl/>
              <w:rPr>
                <w:rFonts w:hint="eastAsia" w:asciiTheme="minorEastAsia" w:hAnsiTheme="minorEastAsia" w:eastAsiaTheme="minorEastAsia" w:cstheme="minorEastAsia"/>
                <w:b/>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厅门踏板</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硬质铝型材</w:t>
            </w:r>
          </w:p>
        </w:tc>
      </w:tr>
      <w:tr>
        <w:tblPrEx>
          <w:tblLayout w:type="fixed"/>
          <w:tblCellMar>
            <w:top w:w="0" w:type="dxa"/>
            <w:left w:w="108" w:type="dxa"/>
            <w:bottom w:w="0" w:type="dxa"/>
            <w:right w:w="108" w:type="dxa"/>
          </w:tblCellMar>
        </w:tblPrEx>
        <w:trPr>
          <w:trHeight w:val="1237"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信号</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装置</w:t>
            </w:r>
          </w:p>
          <w:p>
            <w:pPr>
              <w:spacing w:line="360" w:lineRule="auto"/>
              <w:jc w:val="center"/>
              <w:rPr>
                <w:rFonts w:hint="eastAsia" w:asciiTheme="minorEastAsia" w:hAnsiTheme="minorEastAsia" w:eastAsiaTheme="minorEastAsia" w:cstheme="minorEastAsia"/>
                <w:b/>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候梯厅</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ind w:left="10" w:leftChars="0" w:hanging="1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每层配置</w:t>
            </w:r>
            <w:r>
              <w:rPr>
                <w:rFonts w:hint="eastAsia" w:asciiTheme="minorEastAsia" w:hAnsiTheme="minorEastAsia" w:eastAsiaTheme="minorEastAsia" w:cstheme="minorEastAsia"/>
                <w:color w:val="auto"/>
                <w:sz w:val="24"/>
                <w:szCs w:val="24"/>
                <w:highlight w:val="none"/>
                <w:lang w:val="en-US" w:eastAsia="zh-CN"/>
              </w:rPr>
              <w:t>层站指示召唤器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液晶显示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面板材质为</w:t>
            </w:r>
            <w:r>
              <w:rPr>
                <w:rFonts w:hint="eastAsia" w:asciiTheme="minorEastAsia" w:hAnsiTheme="minorEastAsia" w:eastAsiaTheme="minorEastAsia" w:cstheme="minorEastAsia"/>
                <w:color w:val="auto"/>
                <w:sz w:val="24"/>
                <w:szCs w:val="24"/>
                <w:highlight w:val="none"/>
              </w:rPr>
              <w:t>全发纹不锈钢（</w:t>
            </w:r>
            <w:r>
              <w:rPr>
                <w:rFonts w:hint="eastAsia" w:asciiTheme="minorEastAsia" w:hAnsiTheme="minorEastAsia" w:eastAsiaTheme="minorEastAsia" w:cstheme="minorEastAsia"/>
                <w:color w:val="auto"/>
                <w:sz w:val="24"/>
                <w:szCs w:val="24"/>
                <w:highlight w:val="none"/>
                <w:lang w:val="en-US" w:eastAsia="zh-CN"/>
              </w:rPr>
              <w:t>SUS</w:t>
            </w:r>
            <w:r>
              <w:rPr>
                <w:rFonts w:hint="eastAsia" w:asciiTheme="minorEastAsia" w:hAnsiTheme="minorEastAsia" w:eastAsiaTheme="minorEastAsia" w:cstheme="minorEastAsia"/>
                <w:color w:val="auto"/>
                <w:sz w:val="24"/>
                <w:szCs w:val="24"/>
                <w:highlight w:val="none"/>
              </w:rPr>
              <w:t>304）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按钮为微触式抗菌按钮</w:t>
            </w:r>
            <w:r>
              <w:rPr>
                <w:rFonts w:hint="eastAsia" w:asciiTheme="minorEastAsia" w:hAnsiTheme="minorEastAsia" w:eastAsiaTheme="minorEastAsia" w:cstheme="minorEastAsia"/>
                <w:color w:val="auto"/>
                <w:sz w:val="24"/>
                <w:szCs w:val="24"/>
                <w:highlight w:val="none"/>
              </w:rPr>
              <w:t>，触摸后有亮光显示</w:t>
            </w:r>
            <w:r>
              <w:rPr>
                <w:rFonts w:hint="eastAsia" w:asciiTheme="minorEastAsia" w:hAnsiTheme="minorEastAsia" w:eastAsiaTheme="minorEastAsia" w:cstheme="minorEastAsia"/>
                <w:color w:val="auto"/>
                <w:sz w:val="24"/>
                <w:szCs w:val="24"/>
                <w:highlight w:val="none"/>
                <w:lang w:eastAsia="zh-CN"/>
              </w:rPr>
              <w:t>。</w:t>
            </w:r>
          </w:p>
        </w:tc>
      </w:tr>
      <w:tr>
        <w:tblPrEx>
          <w:tblLayout w:type="fixed"/>
          <w:tblCellMar>
            <w:top w:w="0" w:type="dxa"/>
            <w:left w:w="108" w:type="dxa"/>
            <w:bottom w:w="0" w:type="dxa"/>
            <w:right w:w="108" w:type="dxa"/>
          </w:tblCellMar>
        </w:tblPrEx>
        <w:trPr>
          <w:trHeight w:val="118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Theme="minorEastAsia" w:hAnsiTheme="minorEastAsia" w:eastAsiaTheme="minorEastAsia" w:cstheme="minorEastAsia"/>
                <w:b/>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轿厢内</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ind w:left="10" w:leftChars="0" w:hanging="1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轿厢内配置前壁一体式操纵箱（面板为前壁板），</w:t>
            </w:r>
            <w:r>
              <w:rPr>
                <w:rFonts w:hint="eastAsia" w:asciiTheme="minorEastAsia" w:hAnsiTheme="minorEastAsia" w:eastAsiaTheme="minorEastAsia" w:cstheme="minorEastAsia"/>
                <w:color w:val="auto"/>
                <w:sz w:val="24"/>
                <w:szCs w:val="24"/>
                <w:highlight w:val="none"/>
                <w:lang w:val="en-US" w:eastAsia="zh-CN"/>
              </w:rPr>
              <w:t>液晶显示，</w:t>
            </w:r>
            <w:r>
              <w:rPr>
                <w:rFonts w:hint="eastAsia" w:asciiTheme="minorEastAsia" w:hAnsiTheme="minorEastAsia" w:eastAsiaTheme="minorEastAsia" w:cstheme="minorEastAsia"/>
                <w:color w:val="auto"/>
                <w:sz w:val="24"/>
                <w:szCs w:val="24"/>
                <w:highlight w:val="none"/>
                <w:lang w:eastAsia="zh-CN"/>
              </w:rPr>
              <w:t>前壁材质为</w:t>
            </w:r>
            <w:r>
              <w:rPr>
                <w:rFonts w:hint="eastAsia" w:asciiTheme="minorEastAsia" w:hAnsiTheme="minorEastAsia" w:eastAsiaTheme="minorEastAsia" w:cstheme="minorEastAsia"/>
                <w:color w:val="auto"/>
                <w:sz w:val="24"/>
                <w:szCs w:val="24"/>
                <w:highlight w:val="none"/>
              </w:rPr>
              <w:t>全发纹不锈钢（</w:t>
            </w:r>
            <w:r>
              <w:rPr>
                <w:rFonts w:hint="eastAsia" w:asciiTheme="minorEastAsia" w:hAnsiTheme="minorEastAsia" w:eastAsiaTheme="minorEastAsia" w:cstheme="minorEastAsia"/>
                <w:color w:val="auto"/>
                <w:sz w:val="24"/>
                <w:szCs w:val="24"/>
                <w:highlight w:val="none"/>
                <w:lang w:val="en-US" w:eastAsia="zh-CN"/>
              </w:rPr>
              <w:t>SUS</w:t>
            </w:r>
            <w:r>
              <w:rPr>
                <w:rFonts w:hint="eastAsia" w:asciiTheme="minorEastAsia" w:hAnsiTheme="minorEastAsia" w:eastAsiaTheme="minorEastAsia" w:cstheme="minorEastAsia"/>
                <w:color w:val="auto"/>
                <w:sz w:val="24"/>
                <w:szCs w:val="24"/>
                <w:highlight w:val="none"/>
              </w:rPr>
              <w:t>304，</w:t>
            </w:r>
            <w:r>
              <w:rPr>
                <w:rFonts w:hint="eastAsia" w:asciiTheme="minorEastAsia" w:hAnsiTheme="minorEastAsia" w:eastAsiaTheme="minorEastAsia" w:cstheme="minorEastAsia"/>
                <w:color w:val="auto"/>
                <w:sz w:val="24"/>
                <w:szCs w:val="24"/>
                <w:highlight w:val="none"/>
                <w:lang w:eastAsia="zh-CN"/>
              </w:rPr>
              <w:t>一次成型</w:t>
            </w:r>
            <w:r>
              <w:rPr>
                <w:rFonts w:hint="eastAsia" w:asciiTheme="minorEastAsia" w:hAnsiTheme="minorEastAsia" w:eastAsiaTheme="minorEastAsia" w:cstheme="minorEastAsia"/>
                <w:color w:val="auto"/>
                <w:sz w:val="24"/>
                <w:szCs w:val="24"/>
                <w:highlight w:val="none"/>
              </w:rPr>
              <w:t>，厚度</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按钮为微触式抗菌按钮</w:t>
            </w:r>
            <w:r>
              <w:rPr>
                <w:rFonts w:hint="eastAsia" w:asciiTheme="minorEastAsia" w:hAnsiTheme="minorEastAsia" w:eastAsiaTheme="minorEastAsia" w:cstheme="minorEastAsia"/>
                <w:color w:val="auto"/>
                <w:sz w:val="24"/>
                <w:szCs w:val="24"/>
                <w:highlight w:val="none"/>
              </w:rPr>
              <w:t>，触摸后有亮光显示</w:t>
            </w:r>
            <w:r>
              <w:rPr>
                <w:rFonts w:hint="eastAsia" w:asciiTheme="minorEastAsia" w:hAnsiTheme="minorEastAsia" w:eastAsiaTheme="minorEastAsia" w:cstheme="minorEastAsia"/>
                <w:color w:val="auto"/>
                <w:sz w:val="24"/>
                <w:szCs w:val="24"/>
                <w:highlight w:val="none"/>
                <w:lang w:eastAsia="zh-CN"/>
              </w:rPr>
              <w:t>。</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轿厢内铭牌</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ind w:left="270" w:hanging="27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品牌铭牌为黑色字体</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轿厢</w:t>
            </w:r>
            <w:r>
              <w:rPr>
                <w:rFonts w:hint="eastAsia" w:asciiTheme="minorEastAsia" w:hAnsiTheme="minorEastAsia" w:eastAsiaTheme="minorEastAsia" w:cstheme="minorEastAsia"/>
                <w:color w:val="auto"/>
                <w:sz w:val="24"/>
                <w:szCs w:val="24"/>
                <w:lang w:eastAsia="zh-CN"/>
              </w:rPr>
              <w:t>空调</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配备电梯专用空调</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轿厢照明</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采用LED照明</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井道照明</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配置</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电梯牛腿</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配置钢牛腿</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五方通话</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配置</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国密卡接口</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预留485信号接口，电梯梯控对接铂亚门禁系统，实现一卡通功能</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监控线接口</w:t>
            </w:r>
          </w:p>
        </w:tc>
        <w:tc>
          <w:tcPr>
            <w:tcW w:w="6790" w:type="dxa"/>
            <w:gridSpan w:val="9"/>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预留监控线接口，实现监控摄像功能</w:t>
            </w:r>
          </w:p>
        </w:tc>
      </w:tr>
      <w:tr>
        <w:tblPrEx>
          <w:tblLayout w:type="fixed"/>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最高限价（元）</w:t>
            </w:r>
          </w:p>
        </w:tc>
        <w:tc>
          <w:tcPr>
            <w:tcW w:w="13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231488.77</w:t>
            </w:r>
          </w:p>
        </w:tc>
        <w:tc>
          <w:tcPr>
            <w:tcW w:w="1358"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287808.975</w:t>
            </w:r>
          </w:p>
        </w:tc>
        <w:tc>
          <w:tcPr>
            <w:tcW w:w="13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287808.975</w:t>
            </w:r>
          </w:p>
        </w:tc>
        <w:tc>
          <w:tcPr>
            <w:tcW w:w="135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321423.17</w:t>
            </w:r>
          </w:p>
        </w:tc>
        <w:tc>
          <w:tcPr>
            <w:tcW w:w="135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402514.04</w:t>
            </w:r>
          </w:p>
        </w:tc>
      </w:tr>
    </w:tbl>
    <w:p>
      <w:pPr>
        <w:tabs>
          <w:tab w:val="center" w:pos="4592"/>
        </w:tabs>
        <w:bidi w:val="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（二） </w:t>
      </w:r>
      <w:r>
        <w:rPr>
          <w:rFonts w:hint="eastAsia" w:asciiTheme="minorEastAsia" w:hAnsiTheme="minorEastAsia" w:eastAsiaTheme="minorEastAsia" w:cstheme="minorEastAsia"/>
          <w:b/>
          <w:sz w:val="24"/>
          <w:szCs w:val="24"/>
        </w:rPr>
        <w:t>电梯的功能要求</w:t>
      </w:r>
    </w:p>
    <w:p>
      <w:pPr>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标准功能（必须配置）</w:t>
      </w:r>
    </w:p>
    <w:tbl>
      <w:tblPr>
        <w:tblStyle w:val="11"/>
        <w:tblW w:w="9240" w:type="dxa"/>
        <w:jc w:val="center"/>
        <w:tblInd w:w="0" w:type="dxa"/>
        <w:tblLayout w:type="fixed"/>
        <w:tblCellMar>
          <w:top w:w="0" w:type="dxa"/>
          <w:left w:w="108" w:type="dxa"/>
          <w:bottom w:w="0" w:type="dxa"/>
          <w:right w:w="108" w:type="dxa"/>
        </w:tblCellMar>
      </w:tblPr>
      <w:tblGrid>
        <w:gridCol w:w="749"/>
        <w:gridCol w:w="2158"/>
        <w:gridCol w:w="6333"/>
      </w:tblGrid>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功能名称</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自动再平层</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轿厢到站停靠后，轿厢地坎与层门地坎之间垂直方向的偏差超过预定值时，电梯自动再次平层</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电梯受阻失速保护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当曳引钢丝绳打滑或电机堵转达到预定时间时，电梯停止运行</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制动器冗余保护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当一组制动器发生故障时，其余制动器也可实现电梯有效制动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轿厢侧手动运行</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非服务层设置（轿内按钮型 ），通过轿厢内的按钮实现非服务层设置。</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检修操作</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供维修人员使用的检修运行方式</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称重启动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电梯根据轿厢内的负载调整启动力矩，以使电梯启动平稳</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上电再平层</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由于断电引起轿厢停在门区范围内，当电源恢复后轿厢将再平层到平层位置</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选层器修正</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电梯在运行过程中，对选层器进行修正</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安全停靠</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当电梯因故障停在门区外时，控制器进行安全检测，若符合启动要求，则电梯就近停层开门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停层开门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电梯停层后自动开门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满员自动通过</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轿厢载荷超过额定载重80%（可以调整）时，电梯不响应沿途的层站召唤</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操纵箱微机异常处理</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当操纵箱微机发生异常时，就近层停靠后，电梯不能再启动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轿内反向指令消除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电梯自动运行时，当电梯沿途响应完最后一个轿内指令或层站召唤后，系统自动检查并消除余下的轿内指令（防止反向乘梯浪费资源）</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轿内照明/通风装置自动关闭</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电梯无运行待机一定时间后，轿内照明/通风装置自动关闭以节能</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群控后备运行</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群控/并联处理器故障或群控与各台通讯故障引起群控失效时，维持各台电梯独立服务的功能</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层站微机异常处理</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当层站危机发生异常时，就近层停靠后，电梯不能启动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电梯不启动报警</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当层站召唤、轿内指令已登记，但电梯在预定时间内不能启动时，则清除已分配的层站召唤，保留轿内指令，异常灯点亮，异常警铃鸣响。</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次层停靠</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电梯到达目的层后，若轿厢门不能完全开启，则关门后前行到下一层，直到门能完全开启后，恢复正常运行</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轿厢应急照明</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当正常照明电源断电时，立即提供轿厢照明</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警铃</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紧急按下该警铃，警铃和通话装置鸣响</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关门保护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当轿厢门被物体阻挡不能完全关闭时，门反向开启</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防捣乱功能</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电梯自动侦测载重数据，当轿内指令达到或超过设定值时，系统将消除所有指令。</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超载报警</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轿厢超载时，电梯保持开门且轿内蜂鸣器蜂鸣</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关门力矩控制</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电梯关门遇到额外阻力，门系统自动将力矩增大</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换向重开门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电梯门开状态，前行方向上无轿内指令和层站召唤，且该层站的相反方向的层站召唤已被登记，电梯关门后立即重开</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门负载检测</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如果门由于过载导致不能完全打开或者关闭，电梯门将会反方向动作</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门传感器自诊断</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如果非接触式传感器发生异常，系统将自动强制关门，维持电梯运行</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开门受阻控制</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如果电梯开门受阻，立即关门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开门保护时间自动调整</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电梯可根据层站召唤和轿内指令自动调整开门保持时间</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门速自适应控制</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根据门的重量，自动调整门运行的速度图形</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即时关门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电梯停站开门后，按下关门按钮，门立即关闭</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强制关门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如果电梯开门保持时间超过预定值，电梯在是忽略非接触式门传感器的作用，强制关门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重复关门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若关门受阻，电梯就会重复关门动作，直到杂物被清除</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本层再开门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关门过程中，按同方向层站召唤按钮，电梯重新开门</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轿内运行方向指示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在轿厢内用箭头表示电梯的运行方向</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层站运行方向指示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在层站用箭头表示电梯的运行方向</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关门按钮响应指示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按下关门按钮时关门按钮灯同时点亮</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开门按钮响应指示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按下开门按钮时开门按钮灯同时点亮</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多方通话装置</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值班室、轿厢、轿顶、底坑</w:t>
            </w:r>
            <w:r>
              <w:rPr>
                <w:rFonts w:hint="eastAsia" w:asciiTheme="minorEastAsia" w:hAnsiTheme="minorEastAsia" w:eastAsiaTheme="minorEastAsia" w:cstheme="minorEastAsia"/>
                <w:color w:val="auto"/>
                <w:sz w:val="24"/>
                <w:szCs w:val="24"/>
                <w:lang w:eastAsia="zh-CN"/>
              </w:rPr>
              <w:t>多方通话装置</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numPr>
                <w:ilvl w:val="0"/>
                <w:numId w:val="2"/>
              </w:numPr>
              <w:spacing w:line="320" w:lineRule="exact"/>
              <w:jc w:val="center"/>
              <w:rPr>
                <w:rFonts w:hint="eastAsia" w:asciiTheme="minorEastAsia" w:hAnsiTheme="minorEastAsia" w:eastAsiaTheme="minorEastAsia" w:cstheme="minorEastAsia"/>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主层站待机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当电梯无层站召唤和轿内指令时，返回主层站待机</w:t>
            </w:r>
          </w:p>
        </w:tc>
      </w:tr>
    </w:tbl>
    <w:p>
      <w:pPr>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选配功能</w:t>
      </w:r>
    </w:p>
    <w:tbl>
      <w:tblPr>
        <w:tblStyle w:val="11"/>
        <w:tblW w:w="9240" w:type="dxa"/>
        <w:jc w:val="center"/>
        <w:tblInd w:w="0" w:type="dxa"/>
        <w:tblLayout w:type="fixed"/>
        <w:tblCellMar>
          <w:top w:w="0" w:type="dxa"/>
          <w:left w:w="108" w:type="dxa"/>
          <w:bottom w:w="0" w:type="dxa"/>
          <w:right w:w="108" w:type="dxa"/>
        </w:tblCellMar>
      </w:tblPr>
      <w:tblGrid>
        <w:gridCol w:w="749"/>
        <w:gridCol w:w="2158"/>
        <w:gridCol w:w="6333"/>
      </w:tblGrid>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rPr>
              <w:t>轿内误指令人工消除（轿内按钮型</w:t>
            </w:r>
            <w:r>
              <w:rPr>
                <w:rFonts w:hint="eastAsia" w:asciiTheme="minorEastAsia" w:hAnsiTheme="minorEastAsia" w:eastAsiaTheme="minorEastAsia" w:cstheme="minorEastAsia"/>
                <w:color w:val="FF0000"/>
                <w:sz w:val="24"/>
                <w:szCs w:val="24"/>
              </w:rPr>
              <w:t>）</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误按了层站召唤按钮，连按两次该按钮，可以取消召唤。</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消防应急操纵</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若消防员开关动作，立即取消所有召唤和轿内指令，电梯返回到预订层站并开门后，电梯由消防员控制运行。（消防梯需必备此功能）</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停电应急停靠</w:t>
            </w:r>
          </w:p>
          <w:p>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（蓄电池型）</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当正常电源断电时，电梯由该装置供电，使轿厢运行至最近层站并开门，让乘客安全疏散。</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轿内视频</w:t>
            </w:r>
            <w:r>
              <w:rPr>
                <w:rFonts w:hint="eastAsia" w:asciiTheme="minorEastAsia" w:hAnsiTheme="minorEastAsia" w:eastAsiaTheme="minorEastAsia" w:cstheme="minorEastAsia"/>
                <w:color w:val="auto"/>
                <w:sz w:val="24"/>
                <w:szCs w:val="24"/>
                <w:lang w:eastAsia="zh-CN"/>
              </w:rPr>
              <w:t>监控</w:t>
            </w:r>
            <w:r>
              <w:rPr>
                <w:rFonts w:hint="eastAsia" w:asciiTheme="minorEastAsia" w:hAnsiTheme="minorEastAsia" w:eastAsiaTheme="minorEastAsia" w:cstheme="minorEastAsia"/>
                <w:color w:val="auto"/>
                <w:sz w:val="24"/>
                <w:szCs w:val="24"/>
              </w:rPr>
              <w:t>使用的</w:t>
            </w:r>
            <w:r>
              <w:rPr>
                <w:rFonts w:hint="eastAsia" w:asciiTheme="minorEastAsia" w:hAnsiTheme="minorEastAsia" w:eastAsiaTheme="minorEastAsia" w:cstheme="minorEastAsia"/>
                <w:color w:val="auto"/>
                <w:sz w:val="24"/>
                <w:szCs w:val="24"/>
                <w:lang w:eastAsia="zh-CN"/>
              </w:rPr>
              <w:t>高清</w:t>
            </w:r>
            <w:r>
              <w:rPr>
                <w:rFonts w:hint="eastAsia" w:asciiTheme="minorEastAsia" w:hAnsiTheme="minorEastAsia" w:eastAsiaTheme="minorEastAsia" w:cstheme="minorEastAsia"/>
                <w:color w:val="auto"/>
                <w:sz w:val="24"/>
                <w:szCs w:val="24"/>
              </w:rPr>
              <w:t>电缆</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提供用户的轿内视频装置使用的电缆。</w:t>
            </w:r>
          </w:p>
        </w:tc>
      </w:tr>
      <w:tr>
        <w:tblPrEx>
          <w:tblLayout w:type="fixed"/>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center"/>
              <w:rPr>
                <w:rFonts w:hint="eastAsia" w:asciiTheme="minorEastAsia" w:hAnsiTheme="minorEastAsia" w:eastAsiaTheme="minorEastAsia" w:cstheme="minorEastAsia"/>
                <w:color w:val="FF0000"/>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非服务层设置</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spacing w:line="320" w:lineRule="exact"/>
              <w:jc w:val="both"/>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通过轿厢操纵箱，取消指定层站的服务，紧急操作情况下，此功能将自动消除。</w:t>
            </w:r>
          </w:p>
        </w:tc>
      </w:tr>
    </w:tbl>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电梯的名称、品牌、型号、规格、数量和明细价格如下表（单价/元/人民币）</w:t>
      </w:r>
    </w:p>
    <w:tbl>
      <w:tblPr>
        <w:tblStyle w:val="11"/>
        <w:tblW w:w="10630" w:type="dxa"/>
        <w:jc w:val="center"/>
        <w:tblInd w:w="0" w:type="dxa"/>
        <w:tblLayout w:type="fixed"/>
        <w:tblCellMar>
          <w:top w:w="0" w:type="dxa"/>
          <w:left w:w="0" w:type="dxa"/>
          <w:bottom w:w="0" w:type="dxa"/>
          <w:right w:w="0" w:type="dxa"/>
        </w:tblCellMar>
      </w:tblPr>
      <w:tblGrid>
        <w:gridCol w:w="747"/>
        <w:gridCol w:w="850"/>
        <w:gridCol w:w="1412"/>
        <w:gridCol w:w="1188"/>
        <w:gridCol w:w="1224"/>
        <w:gridCol w:w="667"/>
        <w:gridCol w:w="1271"/>
        <w:gridCol w:w="1588"/>
        <w:gridCol w:w="850"/>
        <w:gridCol w:w="833"/>
      </w:tblGrid>
      <w:tr>
        <w:tblPrEx>
          <w:tblLayout w:type="fixed"/>
          <w:tblCellMar>
            <w:top w:w="0" w:type="dxa"/>
            <w:left w:w="0" w:type="dxa"/>
            <w:bottom w:w="0" w:type="dxa"/>
            <w:right w:w="0" w:type="dxa"/>
          </w:tblCellMar>
        </w:tblPrEx>
        <w:trPr>
          <w:trHeight w:val="570"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w:t>
            </w:r>
          </w:p>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产地品牌</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层/站/门</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p>
            <w:pPr>
              <w:pStyle w:val="1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台</w:t>
            </w:r>
            <w:r>
              <w:rPr>
                <w:rFonts w:hint="eastAsia" w:asciiTheme="minorEastAsia" w:hAnsiTheme="minorEastAsia" w:eastAsiaTheme="minorEastAsia" w:cstheme="minorEastAsia"/>
                <w:sz w:val="24"/>
                <w:szCs w:val="24"/>
                <w:lang w:eastAsia="zh-CN"/>
              </w:rPr>
              <w:t>）</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设备单价</w:t>
            </w:r>
          </w:p>
          <w:p>
            <w:pPr>
              <w:pStyle w:val="1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含运输费</w:t>
            </w:r>
            <w:r>
              <w:rPr>
                <w:rFonts w:hint="eastAsia" w:asciiTheme="minorEastAsia" w:hAnsiTheme="minorEastAsia" w:eastAsiaTheme="minorEastAsia" w:cstheme="minorEastAsia"/>
                <w:sz w:val="24"/>
                <w:szCs w:val="24"/>
                <w:lang w:eastAsia="zh-CN"/>
              </w:rPr>
              <w:t>）</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安装费</w:t>
            </w:r>
          </w:p>
          <w:p>
            <w:pPr>
              <w:pStyle w:val="1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（含土建整改费）</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质保期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合计</w:t>
            </w:r>
          </w:p>
        </w:tc>
      </w:tr>
      <w:tr>
        <w:tblPrEx>
          <w:tblLayout w:type="fixed"/>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lang w:val="en-US" w:eastAsia="zh-CN"/>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r>
      <w:tr>
        <w:tblPrEx>
          <w:tblLayout w:type="fixed"/>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lang w:val="en-US" w:eastAsia="zh-CN"/>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r>
      <w:tr>
        <w:tblPrEx>
          <w:tblLayout w:type="fixed"/>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lang w:val="en-US" w:eastAsia="zh-CN"/>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r>
      <w:tr>
        <w:tblPrEx>
          <w:tblLayout w:type="fixed"/>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lang w:val="en-US" w:eastAsia="zh-CN"/>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r>
      <w:tr>
        <w:tblPrEx>
          <w:tblLayout w:type="fixed"/>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lang w:val="en-US" w:eastAsia="zh-CN"/>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lang w:val="en-US" w:eastAsia="zh-CN"/>
              </w:rPr>
            </w:pPr>
          </w:p>
        </w:tc>
      </w:tr>
    </w:tbl>
    <w:p>
      <w:pPr>
        <w:numPr>
          <w:ilvl w:val="0"/>
          <w:numId w:val="0"/>
        </w:numPr>
        <w:spacing w:line="48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六、生产、安装和售后要求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如</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为代理经销商，必须取得电梯生产厂家的合法授权（提供授权证明文件）。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所提供的</w:t>
      </w:r>
      <w:r>
        <w:rPr>
          <w:rFonts w:hint="eastAsia" w:asciiTheme="minorEastAsia" w:hAnsiTheme="minorEastAsia" w:eastAsiaTheme="minorEastAsia" w:cstheme="minorEastAsia"/>
          <w:sz w:val="24"/>
          <w:szCs w:val="24"/>
          <w:lang w:eastAsia="zh-CN"/>
        </w:rPr>
        <w:t>电梯</w:t>
      </w:r>
      <w:r>
        <w:rPr>
          <w:rFonts w:hint="eastAsia" w:asciiTheme="minorEastAsia" w:hAnsiTheme="minorEastAsia" w:eastAsiaTheme="minorEastAsia" w:cstheme="minorEastAsia"/>
          <w:sz w:val="24"/>
          <w:szCs w:val="24"/>
        </w:rPr>
        <w:t>需按照截至日前最新的国家、行业相关标准执行生产及安装。</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所提供的</w:t>
      </w:r>
      <w:r>
        <w:rPr>
          <w:rFonts w:hint="eastAsia" w:asciiTheme="minorEastAsia" w:hAnsiTheme="minorEastAsia" w:eastAsiaTheme="minorEastAsia" w:cstheme="minorEastAsia"/>
          <w:sz w:val="24"/>
          <w:szCs w:val="24"/>
          <w:lang w:eastAsia="zh-CN"/>
        </w:rPr>
        <w:t>电梯</w:t>
      </w:r>
      <w:r>
        <w:rPr>
          <w:rFonts w:hint="eastAsia" w:asciiTheme="minorEastAsia" w:hAnsiTheme="minorEastAsia" w:eastAsiaTheme="minorEastAsia" w:cstheme="minorEastAsia"/>
          <w:sz w:val="24"/>
          <w:szCs w:val="24"/>
        </w:rPr>
        <w:t>必须具备完全知识产权，技术开放，不能加密。严禁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采用任何直接或间接的手段控制电梯的使用功能，例如采取包括但不限于屏蔽故障码、加入功能使用次数限制等手段限制</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正常使用、维护</w:t>
      </w:r>
      <w:r>
        <w:rPr>
          <w:rFonts w:hint="eastAsia" w:asciiTheme="minorEastAsia" w:hAnsiTheme="minorEastAsia" w:eastAsiaTheme="minorEastAsia" w:cstheme="minorEastAsia"/>
          <w:sz w:val="24"/>
          <w:szCs w:val="24"/>
          <w:lang w:eastAsia="zh-CN"/>
        </w:rPr>
        <w:t>电梯</w:t>
      </w:r>
      <w:r>
        <w:rPr>
          <w:rFonts w:hint="eastAsia" w:asciiTheme="minorEastAsia" w:hAnsiTheme="minorEastAsia" w:eastAsiaTheme="minorEastAsia" w:cstheme="minorEastAsia"/>
          <w:sz w:val="24"/>
          <w:szCs w:val="24"/>
        </w:rPr>
        <w:t>设备。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设备发货前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需与</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协商到货时间，</w:t>
      </w:r>
      <w:r>
        <w:rPr>
          <w:rFonts w:hint="eastAsia" w:asciiTheme="minorEastAsia" w:hAnsiTheme="minorEastAsia" w:eastAsiaTheme="minorEastAsia" w:cstheme="minorEastAsia"/>
          <w:sz w:val="24"/>
          <w:szCs w:val="24"/>
          <w:lang w:eastAsia="zh-CN"/>
        </w:rPr>
        <w:t>电梯</w:t>
      </w:r>
      <w:r>
        <w:rPr>
          <w:rFonts w:hint="eastAsia" w:asciiTheme="minorEastAsia" w:hAnsiTheme="minorEastAsia" w:eastAsiaTheme="minorEastAsia" w:cstheme="minorEastAsia"/>
          <w:sz w:val="24"/>
          <w:szCs w:val="24"/>
        </w:rPr>
        <w:t>运抵安装场地后，</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只提供露天的场地予以停放，</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需做好设备的防水、防潮、防腐蚀、防破坏、防盗等相关安全保管工作，设备安装不允许有水浸、锈蚀等现象。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在施工时，必须接受</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的技术监督和安全管理，严格按照规范施工，遵守</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的规章制度，确保施工安全。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自负</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工作人员施工用具、设备、薪酬、社保及人身意外保险等，如违反相关规定造成质量、安全事故或处罚，其全部责任由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负责。</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应按照施工图纸和施工技术规范进行施工。服从</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的安排指挥，接受</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对工程质量、施工安全、文明生产监督，严格执行持证上岗制度。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在施工过程中，</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必须建立可靠的安全防护措施和明显标志，设立工作区，防止人身和设备的伤害、损坏事故，且必须满足</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的消防保障需求，由于</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安全措施不可靠或失误、过错而造成的财产、设备、人身损害，由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负全部责任。</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必须严格按照</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要求，在规定时间内完成施工，以保障</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电梯的正常使用；施工过程中发现问题时应及时书面通知</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。因</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原因造成的停工、返工、材料、器材损失等均由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9.供应商负责电梯相关特种设备使用登记证办理工作，采购方将予以必要配合。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10.供应商</w:t>
      </w:r>
      <w:r>
        <w:rPr>
          <w:rFonts w:hint="eastAsia" w:asciiTheme="minorEastAsia" w:hAnsiTheme="minorEastAsia" w:eastAsiaTheme="minorEastAsia" w:cstheme="minorEastAsia"/>
          <w:sz w:val="24"/>
          <w:szCs w:val="24"/>
        </w:rPr>
        <w:t>需对</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产品提供</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年的质量保证和日常维护保养服务等，并与</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签订日常维护保养合同，其中日常维护保养为全包形式，包括电梯耗材、易损件等的更换。</w:t>
      </w:r>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3B7FD"/>
    <w:multiLevelType w:val="singleLevel"/>
    <w:tmpl w:val="8253B7FD"/>
    <w:lvl w:ilvl="0" w:tentative="0">
      <w:start w:val="2"/>
      <w:numFmt w:val="chineseCounting"/>
      <w:suff w:val="nothing"/>
      <w:lvlText w:val="%1、"/>
      <w:lvlJc w:val="left"/>
      <w:rPr>
        <w:rFonts w:hint="eastAsia"/>
      </w:rPr>
    </w:lvl>
  </w:abstractNum>
  <w:abstractNum w:abstractNumId="1">
    <w:nsid w:val="35A835A7"/>
    <w:multiLevelType w:val="multilevel"/>
    <w:tmpl w:val="35A835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s>
  <w:rsids>
    <w:rsidRoot w:val="00000000"/>
    <w:rsid w:val="030254D6"/>
    <w:rsid w:val="03260937"/>
    <w:rsid w:val="05C0254D"/>
    <w:rsid w:val="063F2483"/>
    <w:rsid w:val="06A33803"/>
    <w:rsid w:val="07D469AB"/>
    <w:rsid w:val="0B45593E"/>
    <w:rsid w:val="0BFD4EF4"/>
    <w:rsid w:val="0D1C2AFF"/>
    <w:rsid w:val="0DC952EE"/>
    <w:rsid w:val="0EB35092"/>
    <w:rsid w:val="0F077052"/>
    <w:rsid w:val="11517F5A"/>
    <w:rsid w:val="11556EAD"/>
    <w:rsid w:val="11620B50"/>
    <w:rsid w:val="12210DB7"/>
    <w:rsid w:val="12D91443"/>
    <w:rsid w:val="131B4279"/>
    <w:rsid w:val="132B7DD0"/>
    <w:rsid w:val="13907360"/>
    <w:rsid w:val="155B23D6"/>
    <w:rsid w:val="15AD3EC3"/>
    <w:rsid w:val="15E11567"/>
    <w:rsid w:val="18605A52"/>
    <w:rsid w:val="1BAB17B9"/>
    <w:rsid w:val="1C280A88"/>
    <w:rsid w:val="1F274DC0"/>
    <w:rsid w:val="1F762D82"/>
    <w:rsid w:val="21A00E57"/>
    <w:rsid w:val="26570F76"/>
    <w:rsid w:val="269E4A20"/>
    <w:rsid w:val="27634BDA"/>
    <w:rsid w:val="29020ECD"/>
    <w:rsid w:val="29022AA2"/>
    <w:rsid w:val="2AD0786B"/>
    <w:rsid w:val="2AEE30CD"/>
    <w:rsid w:val="2E427E5E"/>
    <w:rsid w:val="2EE57553"/>
    <w:rsid w:val="2F2E446C"/>
    <w:rsid w:val="2FA8224C"/>
    <w:rsid w:val="2FB27E9D"/>
    <w:rsid w:val="30DA3986"/>
    <w:rsid w:val="30E06BA3"/>
    <w:rsid w:val="30FC1767"/>
    <w:rsid w:val="337C4B94"/>
    <w:rsid w:val="33B57217"/>
    <w:rsid w:val="348F6D07"/>
    <w:rsid w:val="359D1749"/>
    <w:rsid w:val="367F3317"/>
    <w:rsid w:val="36966661"/>
    <w:rsid w:val="37B83ED1"/>
    <w:rsid w:val="38326250"/>
    <w:rsid w:val="387D02CE"/>
    <w:rsid w:val="3AB331C1"/>
    <w:rsid w:val="3ACB330F"/>
    <w:rsid w:val="3B6440E6"/>
    <w:rsid w:val="3B9B046E"/>
    <w:rsid w:val="3BDC0FF8"/>
    <w:rsid w:val="3C9A212B"/>
    <w:rsid w:val="3CA752CC"/>
    <w:rsid w:val="3CD60E34"/>
    <w:rsid w:val="40543F0A"/>
    <w:rsid w:val="435F6458"/>
    <w:rsid w:val="44AE2CE4"/>
    <w:rsid w:val="44F06CC4"/>
    <w:rsid w:val="46563DA5"/>
    <w:rsid w:val="480B17E1"/>
    <w:rsid w:val="48306275"/>
    <w:rsid w:val="489546ED"/>
    <w:rsid w:val="49AE7F18"/>
    <w:rsid w:val="49C77BDB"/>
    <w:rsid w:val="49DD1B2F"/>
    <w:rsid w:val="4A102F74"/>
    <w:rsid w:val="4C6454D2"/>
    <w:rsid w:val="4C9700ED"/>
    <w:rsid w:val="4E8912FB"/>
    <w:rsid w:val="4EA45734"/>
    <w:rsid w:val="4F085277"/>
    <w:rsid w:val="53246C49"/>
    <w:rsid w:val="533128AF"/>
    <w:rsid w:val="53E10070"/>
    <w:rsid w:val="5522671B"/>
    <w:rsid w:val="552B3C54"/>
    <w:rsid w:val="56354E7A"/>
    <w:rsid w:val="568B6949"/>
    <w:rsid w:val="571A0A38"/>
    <w:rsid w:val="58830219"/>
    <w:rsid w:val="592D63EB"/>
    <w:rsid w:val="596624A4"/>
    <w:rsid w:val="5B2B7EE1"/>
    <w:rsid w:val="5BE25541"/>
    <w:rsid w:val="5C0C1DA8"/>
    <w:rsid w:val="5C126D55"/>
    <w:rsid w:val="5C332FB8"/>
    <w:rsid w:val="5D443A66"/>
    <w:rsid w:val="5E5251B3"/>
    <w:rsid w:val="5EBD0BAD"/>
    <w:rsid w:val="6263077A"/>
    <w:rsid w:val="644E7461"/>
    <w:rsid w:val="695623CB"/>
    <w:rsid w:val="6A57219D"/>
    <w:rsid w:val="6AB20A47"/>
    <w:rsid w:val="6D173837"/>
    <w:rsid w:val="6FE67AAB"/>
    <w:rsid w:val="701019FC"/>
    <w:rsid w:val="71607004"/>
    <w:rsid w:val="71920510"/>
    <w:rsid w:val="71C2316C"/>
    <w:rsid w:val="786B1CDE"/>
    <w:rsid w:val="793C37F1"/>
    <w:rsid w:val="7CB266A1"/>
    <w:rsid w:val="7DFC4937"/>
    <w:rsid w:val="7FD4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4"/>
      <w:szCs w:val="24"/>
      <w:lang w:val="en-US" w:eastAsia="zh-CN" w:bidi="ar-SA"/>
    </w:rPr>
  </w:style>
  <w:style w:type="paragraph" w:styleId="3">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annotation text"/>
    <w:basedOn w:val="1"/>
    <w:unhideWhenUsed/>
    <w:qFormat/>
    <w:uiPriority w:val="99"/>
    <w:rPr>
      <w:rFonts w:cs="Times New Roman"/>
    </w:rPr>
  </w:style>
  <w:style w:type="paragraph" w:styleId="6">
    <w:name w:val="Body Text"/>
    <w:basedOn w:val="1"/>
    <w:qFormat/>
    <w:uiPriority w:val="99"/>
    <w:rPr>
      <w:rFonts w:cs="Times New Roman"/>
    </w:rPr>
  </w:style>
  <w:style w:type="paragraph" w:styleId="7">
    <w:name w:val="footer"/>
    <w:basedOn w:val="1"/>
    <w:unhideWhenUsed/>
    <w:qFormat/>
    <w:uiPriority w:val="99"/>
    <w:pPr>
      <w:tabs>
        <w:tab w:val="center" w:pos="4153"/>
        <w:tab w:val="right" w:pos="8306"/>
      </w:tabs>
      <w:snapToGrid w:val="0"/>
    </w:pPr>
    <w:rPr>
      <w:rFonts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表格文字"/>
    <w:basedOn w:val="1"/>
    <w:qFormat/>
    <w:uiPriority w:val="0"/>
    <w:pPr>
      <w:autoSpaceDE/>
      <w:autoSpaceDN/>
      <w:adjustRightInd/>
      <w:spacing w:before="25" w:after="25"/>
    </w:pPr>
    <w:rPr>
      <w:rFonts w:ascii="Times New Roman" w:cs="Times New Roman"/>
      <w:bCs/>
      <w:spacing w:val="10"/>
      <w:szCs w:val="20"/>
    </w:rPr>
  </w:style>
  <w:style w:type="paragraph" w:customStyle="1" w:styleId="14">
    <w:name w:val="标题 11"/>
    <w:basedOn w:val="1"/>
    <w:qFormat/>
    <w:uiPriority w:val="1"/>
    <w:pPr>
      <w:spacing w:line="590" w:lineRule="exact"/>
      <w:ind w:left="3"/>
      <w:outlineLvl w:val="0"/>
    </w:pPr>
    <w:rPr>
      <w:rFonts w:ascii="Microsoft JhengHei" w:eastAsia="Microsoft JhengHei" w:cs="Microsoft JhengHei"/>
      <w:b/>
      <w:bCs/>
      <w:sz w:val="44"/>
      <w:szCs w:val="44"/>
    </w:rPr>
  </w:style>
  <w:style w:type="character" w:customStyle="1" w:styleId="15">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4117</Words>
  <Characters>4290</Characters>
  <Lines>0</Lines>
  <Paragraphs>0</Paragraphs>
  <TotalTime>3</TotalTime>
  <ScaleCrop>false</ScaleCrop>
  <LinksUpToDate>false</LinksUpToDate>
  <CharactersWithSpaces>4297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2024-07-16T03:36:00Z</dcterms:created>
  <dc:creator>lenovo.lenovo-PC.000</dc:creator>
  <cp:lastModifiedBy>罗莹</cp:lastModifiedBy>
  <cp:lastPrinted>2024-09-26T06:28:00Z</cp:lastPrinted>
  <dcterms:modified xsi:type="dcterms:W3CDTF">2025-01-03T09:27:43Z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7D6F9EB25BE54362B8B5F56BC8F65874_13</vt:lpwstr>
  </property>
</Properties>
</file>