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BF2A4">
      <w:pPr>
        <w:snapToGrid w:val="0"/>
        <w:spacing w:line="360" w:lineRule="auto"/>
        <w:jc w:val="center"/>
        <w:outlineLvl w:val="0"/>
        <w:rPr>
          <w:rFonts w:hint="eastAsia" w:asciiTheme="minorEastAsia" w:hAnsiTheme="minorEastAsia"/>
          <w:b/>
          <w:bCs/>
          <w:sz w:val="36"/>
          <w:szCs w:val="36"/>
        </w:rPr>
      </w:pPr>
      <w:bookmarkStart w:id="0" w:name="_Toc512613206"/>
      <w:bookmarkStart w:id="1" w:name="_Toc502845064"/>
      <w:r>
        <w:rPr>
          <w:rFonts w:hint="eastAsia" w:asciiTheme="minorEastAsia" w:hAnsiTheme="minorEastAsia"/>
          <w:b/>
          <w:bCs/>
          <w:spacing w:val="-20"/>
          <w:sz w:val="36"/>
          <w:szCs w:val="36"/>
          <w:lang w:val="en-US" w:eastAsia="zh-CN"/>
        </w:rPr>
        <w:t xml:space="preserve"> </w:t>
      </w:r>
      <w:r>
        <w:rPr>
          <w:rFonts w:hint="eastAsia" w:asciiTheme="minorEastAsia" w:hAnsiTheme="minorEastAsia" w:eastAsiaTheme="minorEastAsia"/>
          <w:b/>
          <w:bCs/>
          <w:spacing w:val="-20"/>
          <w:sz w:val="36"/>
          <w:szCs w:val="36"/>
        </w:rPr>
        <w:t>广东省监狱中心医院</w:t>
      </w:r>
      <w:r>
        <w:rPr>
          <w:rFonts w:hint="eastAsia" w:asciiTheme="minorEastAsia" w:hAnsiTheme="minorEastAsia" w:eastAsiaTheme="minorEastAsia"/>
          <w:b/>
          <w:bCs/>
          <w:spacing w:val="-20"/>
          <w:sz w:val="36"/>
          <w:szCs w:val="36"/>
          <w:lang w:val="en-US" w:eastAsia="zh-CN"/>
        </w:rPr>
        <w:t>202</w:t>
      </w:r>
      <w:r>
        <w:rPr>
          <w:rFonts w:hint="eastAsia" w:asciiTheme="minorEastAsia" w:hAnsiTheme="minorEastAsia"/>
          <w:b/>
          <w:bCs/>
          <w:spacing w:val="-20"/>
          <w:sz w:val="36"/>
          <w:szCs w:val="36"/>
          <w:lang w:val="en-US" w:eastAsia="zh-CN"/>
        </w:rPr>
        <w:t>5</w:t>
      </w:r>
      <w:r>
        <w:rPr>
          <w:rFonts w:hint="eastAsia" w:asciiTheme="minorEastAsia" w:hAnsiTheme="minorEastAsia" w:eastAsiaTheme="minorEastAsia"/>
          <w:b/>
          <w:bCs/>
          <w:spacing w:val="-20"/>
          <w:sz w:val="36"/>
          <w:szCs w:val="36"/>
          <w:lang w:val="en-US" w:eastAsia="zh-CN"/>
        </w:rPr>
        <w:t>年</w:t>
      </w:r>
      <w:r>
        <w:rPr>
          <w:rFonts w:hint="eastAsia" w:asciiTheme="minorEastAsia" w:hAnsiTheme="minorEastAsia" w:eastAsiaTheme="minorEastAsia"/>
          <w:b/>
          <w:bCs/>
          <w:spacing w:val="-20"/>
          <w:sz w:val="36"/>
          <w:szCs w:val="36"/>
        </w:rPr>
        <w:t>医用气体采购项目需求书</w:t>
      </w:r>
      <w:bookmarkEnd w:id="0"/>
      <w:bookmarkEnd w:id="1"/>
    </w:p>
    <w:p w14:paraId="7CE698E3">
      <w:pPr>
        <w:snapToGrid w:val="0"/>
        <w:spacing w:line="360" w:lineRule="auto"/>
        <w:jc w:val="center"/>
        <w:outlineLvl w:val="0"/>
        <w:rPr>
          <w:rFonts w:asciiTheme="minorEastAsia" w:hAnsiTheme="minorEastAsia"/>
          <w:b/>
          <w:bCs/>
        </w:rPr>
      </w:pPr>
      <w:r>
        <w:rPr>
          <w:rFonts w:hint="eastAsia" w:asciiTheme="minorEastAsia" w:hAnsiTheme="minorEastAsia"/>
          <w:b/>
          <w:bCs/>
        </w:rPr>
        <w:t xml:space="preserve"> </w:t>
      </w:r>
    </w:p>
    <w:p w14:paraId="447E36D1">
      <w:pPr>
        <w:pStyle w:val="8"/>
        <w:keepNext w:val="0"/>
        <w:keepLines w:val="0"/>
        <w:pageBreakBefore w:val="0"/>
        <w:numPr>
          <w:ilvl w:val="0"/>
          <w:numId w:val="0"/>
        </w:numPr>
        <w:tabs>
          <w:tab w:val="left" w:pos="540"/>
        </w:tabs>
        <w:kinsoku/>
        <w:wordWrap/>
        <w:overflowPunct/>
        <w:topLinePunct w:val="0"/>
        <w:bidi w:val="0"/>
        <w:adjustRightInd w:val="0"/>
        <w:snapToGrid w:val="0"/>
        <w:spacing w:line="440" w:lineRule="exact"/>
        <w:ind w:leftChars="0" w:firstLine="482" w:firstLineChars="200"/>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项目一览表</w:t>
      </w:r>
      <w:bookmarkStart w:id="5" w:name="_GoBack"/>
      <w:bookmarkEnd w:id="5"/>
    </w:p>
    <w:tbl>
      <w:tblPr>
        <w:tblStyle w:val="16"/>
        <w:tblW w:w="61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851"/>
        <w:gridCol w:w="2409"/>
      </w:tblGrid>
      <w:tr w14:paraId="376F7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tcBorders>
              <w:top w:val="single" w:color="auto" w:sz="12" w:space="0"/>
              <w:bottom w:val="single" w:color="auto" w:sz="2" w:space="0"/>
            </w:tcBorders>
            <w:shd w:val="clear" w:color="auto" w:fill="EEECE1"/>
            <w:vAlign w:val="center"/>
          </w:tcPr>
          <w:p w14:paraId="78FD2123">
            <w:pPr>
              <w:keepNext w:val="0"/>
              <w:keepLines w:val="0"/>
              <w:pageBreakBefore w:val="0"/>
              <w:kinsoku/>
              <w:wordWrap/>
              <w:overflowPunct/>
              <w:topLinePunct w:val="0"/>
              <w:bidi w:val="0"/>
              <w:spacing w:line="440" w:lineRule="exact"/>
              <w:jc w:val="center"/>
              <w:outlineLvl w:val="9"/>
              <w:rPr>
                <w:rFonts w:ascii="宋体" w:hAnsi="宋体" w:eastAsia="宋体"/>
                <w:b/>
                <w:sz w:val="24"/>
                <w:szCs w:val="24"/>
              </w:rPr>
            </w:pPr>
            <w:r>
              <w:rPr>
                <w:rFonts w:hint="eastAsia" w:ascii="宋体" w:hAnsi="宋体" w:eastAsia="宋体"/>
                <w:b/>
                <w:sz w:val="24"/>
                <w:szCs w:val="24"/>
              </w:rPr>
              <w:t>采购内容</w:t>
            </w:r>
          </w:p>
        </w:tc>
        <w:tc>
          <w:tcPr>
            <w:tcW w:w="851" w:type="dxa"/>
            <w:tcBorders>
              <w:top w:val="single" w:color="auto" w:sz="12" w:space="0"/>
              <w:bottom w:val="single" w:color="auto" w:sz="2" w:space="0"/>
            </w:tcBorders>
            <w:shd w:val="clear" w:color="auto" w:fill="EEECE1"/>
            <w:vAlign w:val="center"/>
          </w:tcPr>
          <w:p w14:paraId="4BD39243">
            <w:pPr>
              <w:keepNext w:val="0"/>
              <w:keepLines w:val="0"/>
              <w:pageBreakBefore w:val="0"/>
              <w:kinsoku/>
              <w:wordWrap/>
              <w:overflowPunct/>
              <w:topLinePunct w:val="0"/>
              <w:bidi w:val="0"/>
              <w:spacing w:line="440" w:lineRule="exact"/>
              <w:jc w:val="center"/>
              <w:outlineLvl w:val="9"/>
              <w:rPr>
                <w:rFonts w:ascii="宋体" w:hAnsi="宋体" w:eastAsia="宋体"/>
                <w:b/>
                <w:sz w:val="24"/>
                <w:szCs w:val="24"/>
              </w:rPr>
            </w:pPr>
            <w:r>
              <w:rPr>
                <w:rFonts w:hint="eastAsia" w:ascii="宋体" w:hAnsi="宋体" w:eastAsia="宋体"/>
                <w:b/>
                <w:sz w:val="24"/>
                <w:szCs w:val="24"/>
              </w:rPr>
              <w:t>数量</w:t>
            </w:r>
          </w:p>
        </w:tc>
        <w:tc>
          <w:tcPr>
            <w:tcW w:w="2409" w:type="dxa"/>
            <w:tcBorders>
              <w:top w:val="single" w:color="auto" w:sz="12" w:space="0"/>
              <w:bottom w:val="single" w:color="auto" w:sz="2" w:space="0"/>
            </w:tcBorders>
            <w:shd w:val="clear" w:color="auto" w:fill="EEECE1"/>
            <w:vAlign w:val="center"/>
          </w:tcPr>
          <w:p w14:paraId="0E82B8A2">
            <w:pPr>
              <w:keepNext w:val="0"/>
              <w:keepLines w:val="0"/>
              <w:pageBreakBefore w:val="0"/>
              <w:kinsoku/>
              <w:wordWrap/>
              <w:overflowPunct/>
              <w:topLinePunct w:val="0"/>
              <w:bidi w:val="0"/>
              <w:spacing w:line="440" w:lineRule="exact"/>
              <w:jc w:val="center"/>
              <w:outlineLvl w:val="9"/>
              <w:rPr>
                <w:rFonts w:ascii="宋体" w:hAnsi="宋体" w:eastAsia="宋体"/>
                <w:b/>
                <w:sz w:val="24"/>
                <w:szCs w:val="24"/>
                <w:highlight w:val="yellow"/>
              </w:rPr>
            </w:pPr>
            <w:r>
              <w:rPr>
                <w:rFonts w:hint="eastAsia" w:ascii="宋体" w:hAnsi="宋体" w:eastAsia="宋体"/>
                <w:b/>
                <w:sz w:val="24"/>
                <w:szCs w:val="24"/>
              </w:rPr>
              <w:t>供货期</w:t>
            </w:r>
          </w:p>
        </w:tc>
      </w:tr>
      <w:tr w14:paraId="04F73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5" w:type="dxa"/>
            <w:tcBorders>
              <w:top w:val="single" w:color="auto" w:sz="2" w:space="0"/>
              <w:bottom w:val="single" w:color="auto" w:sz="2" w:space="0"/>
            </w:tcBorders>
            <w:vAlign w:val="center"/>
          </w:tcPr>
          <w:p w14:paraId="4EE12664">
            <w:pPr>
              <w:pStyle w:val="5"/>
              <w:keepNext w:val="0"/>
              <w:keepLines w:val="0"/>
              <w:pageBreakBefore w:val="0"/>
              <w:kinsoku/>
              <w:wordWrap/>
              <w:overflowPunct/>
              <w:topLinePunct w:val="0"/>
              <w:bidi w:val="0"/>
              <w:spacing w:line="440" w:lineRule="exact"/>
              <w:ind w:left="0" w:firstLine="0"/>
              <w:jc w:val="center"/>
              <w:outlineLvl w:val="9"/>
              <w:rPr>
                <w:rFonts w:ascii="宋体" w:hAnsi="宋体" w:eastAsiaTheme="minorEastAsia" w:cstheme="minorBidi"/>
                <w:kern w:val="0"/>
                <w:sz w:val="24"/>
                <w:szCs w:val="24"/>
              </w:rPr>
            </w:pPr>
            <w:r>
              <w:rPr>
                <w:rFonts w:hint="eastAsia" w:cs="宋体" w:asciiTheme="minorEastAsia" w:hAnsiTheme="minorEastAsia" w:eastAsiaTheme="minorEastAsia"/>
                <w:sz w:val="24"/>
                <w:szCs w:val="24"/>
              </w:rPr>
              <w:t>广东省监狱中心医院医用</w:t>
            </w:r>
            <w:r>
              <w:rPr>
                <w:rFonts w:hint="eastAsia" w:cs="宋体" w:asciiTheme="minorEastAsia" w:hAnsiTheme="minorEastAsia" w:eastAsiaTheme="minorEastAsia"/>
                <w:sz w:val="24"/>
                <w:szCs w:val="24"/>
                <w:lang w:val="en-US" w:eastAsia="zh-CN"/>
              </w:rPr>
              <w:t>气体</w:t>
            </w:r>
            <w:r>
              <w:rPr>
                <w:rFonts w:hint="eastAsia" w:cs="宋体" w:asciiTheme="minorEastAsia" w:hAnsiTheme="minorEastAsia" w:eastAsiaTheme="minorEastAsia"/>
                <w:sz w:val="24"/>
                <w:szCs w:val="24"/>
              </w:rPr>
              <w:t>采购项目</w:t>
            </w:r>
          </w:p>
        </w:tc>
        <w:tc>
          <w:tcPr>
            <w:tcW w:w="851" w:type="dxa"/>
            <w:tcBorders>
              <w:top w:val="single" w:color="auto" w:sz="2" w:space="0"/>
              <w:bottom w:val="single" w:color="auto" w:sz="2" w:space="0"/>
            </w:tcBorders>
            <w:vAlign w:val="center"/>
          </w:tcPr>
          <w:p w14:paraId="37007112">
            <w:pPr>
              <w:keepNext w:val="0"/>
              <w:keepLines w:val="0"/>
              <w:pageBreakBefore w:val="0"/>
              <w:kinsoku/>
              <w:wordWrap/>
              <w:overflowPunct/>
              <w:topLinePunct w:val="0"/>
              <w:bidi w:val="0"/>
              <w:spacing w:line="440" w:lineRule="exact"/>
              <w:jc w:val="center"/>
              <w:outlineLvl w:val="9"/>
              <w:rPr>
                <w:rFonts w:hint="eastAsia" w:ascii="宋体" w:hAnsi="宋体" w:eastAsiaTheme="minorEastAsia"/>
                <w:kern w:val="0"/>
                <w:sz w:val="24"/>
                <w:szCs w:val="24"/>
                <w:lang w:eastAsia="zh-CN"/>
              </w:rPr>
            </w:pPr>
            <w:r>
              <w:rPr>
                <w:rFonts w:hint="eastAsia" w:ascii="宋体" w:hAnsi="宋体"/>
                <w:kern w:val="0"/>
                <w:sz w:val="24"/>
                <w:szCs w:val="24"/>
              </w:rPr>
              <w:t>1</w:t>
            </w:r>
            <w:r>
              <w:rPr>
                <w:rFonts w:hint="eastAsia" w:ascii="宋体" w:hAnsi="宋体"/>
                <w:kern w:val="0"/>
                <w:sz w:val="24"/>
                <w:szCs w:val="24"/>
                <w:lang w:val="en-US" w:eastAsia="zh-CN"/>
              </w:rPr>
              <w:t>批</w:t>
            </w:r>
          </w:p>
        </w:tc>
        <w:tc>
          <w:tcPr>
            <w:tcW w:w="2409" w:type="dxa"/>
            <w:tcBorders>
              <w:top w:val="single" w:color="auto" w:sz="2" w:space="0"/>
              <w:bottom w:val="single" w:color="auto" w:sz="2" w:space="0"/>
            </w:tcBorders>
            <w:vAlign w:val="center"/>
          </w:tcPr>
          <w:p w14:paraId="354B205D">
            <w:pPr>
              <w:pStyle w:val="4"/>
              <w:keepNext w:val="0"/>
              <w:keepLines w:val="0"/>
              <w:pageBreakBefore w:val="0"/>
              <w:kinsoku/>
              <w:wordWrap/>
              <w:overflowPunct/>
              <w:topLinePunct w:val="0"/>
              <w:bidi w:val="0"/>
              <w:spacing w:line="440" w:lineRule="exact"/>
              <w:jc w:val="center"/>
              <w:outlineLvl w:val="9"/>
              <w:rPr>
                <w:rFonts w:ascii="宋体" w:hAnsi="宋体"/>
                <w:kern w:val="0"/>
                <w:sz w:val="24"/>
                <w:szCs w:val="24"/>
              </w:rPr>
            </w:pPr>
            <w:r>
              <w:rPr>
                <w:rFonts w:hint="eastAsia" w:ascii="宋体" w:hAnsi="宋体"/>
                <w:kern w:val="0"/>
                <w:sz w:val="24"/>
                <w:szCs w:val="24"/>
              </w:rPr>
              <w:t>1年</w:t>
            </w:r>
          </w:p>
        </w:tc>
      </w:tr>
    </w:tbl>
    <w:p w14:paraId="05AB317D">
      <w:pPr>
        <w:pStyle w:val="8"/>
        <w:keepNext w:val="0"/>
        <w:keepLines w:val="0"/>
        <w:pageBreakBefore w:val="0"/>
        <w:tabs>
          <w:tab w:val="left" w:pos="540"/>
        </w:tabs>
        <w:kinsoku/>
        <w:wordWrap/>
        <w:overflowPunct/>
        <w:topLinePunct w:val="0"/>
        <w:bidi w:val="0"/>
        <w:adjustRightInd w:val="0"/>
        <w:snapToGrid w:val="0"/>
        <w:spacing w:line="440" w:lineRule="exact"/>
        <w:outlineLvl w:val="9"/>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说明：</w:t>
      </w:r>
      <w:r>
        <w:rPr>
          <w:rFonts w:hint="eastAsia" w:cs="宋体" w:asciiTheme="minorEastAsia" w:hAnsiTheme="minorEastAsia" w:eastAsiaTheme="minorEastAsia"/>
          <w:sz w:val="24"/>
          <w:szCs w:val="24"/>
        </w:rPr>
        <w:t>在供货期间，实际的货物采购数量、配送时间等根据采购人下达任务通知单为准，据实结算。</w:t>
      </w:r>
    </w:p>
    <w:p w14:paraId="2BCB814C">
      <w:pPr>
        <w:pStyle w:val="8"/>
        <w:keepNext w:val="0"/>
        <w:keepLines w:val="0"/>
        <w:pageBreakBefore w:val="0"/>
        <w:numPr>
          <w:ilvl w:val="0"/>
          <w:numId w:val="3"/>
        </w:numPr>
        <w:tabs>
          <w:tab w:val="left" w:pos="540"/>
        </w:tabs>
        <w:kinsoku/>
        <w:wordWrap/>
        <w:overflowPunct/>
        <w:topLinePunct w:val="0"/>
        <w:bidi w:val="0"/>
        <w:adjustRightInd w:val="0"/>
        <w:snapToGrid w:val="0"/>
        <w:spacing w:line="440" w:lineRule="exact"/>
        <w:ind w:leftChars="0" w:firstLine="482" w:firstLineChars="200"/>
        <w:outlineLvl w:val="9"/>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服务内容</w:t>
      </w:r>
    </w:p>
    <w:p w14:paraId="09D28179">
      <w:pPr>
        <w:pStyle w:val="8"/>
        <w:keepNext w:val="0"/>
        <w:keepLines w:val="0"/>
        <w:pageBreakBefore w:val="0"/>
        <w:tabs>
          <w:tab w:val="left" w:pos="540"/>
        </w:tabs>
        <w:kinsoku/>
        <w:wordWrap/>
        <w:overflowPunct/>
        <w:topLinePunct w:val="0"/>
        <w:bidi w:val="0"/>
        <w:adjustRightInd w:val="0"/>
        <w:snapToGrid w:val="0"/>
        <w:spacing w:line="440" w:lineRule="exact"/>
        <w:ind w:firstLine="480" w:firstLineChars="200"/>
        <w:outlineLvl w:val="9"/>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为采购人提供医用气体供应服务。</w:t>
      </w:r>
      <w:r>
        <w:rPr>
          <w:rFonts w:hint="eastAsia" w:cs="宋体" w:asciiTheme="minorEastAsia" w:hAnsiTheme="minorEastAsia" w:eastAsiaTheme="minorEastAsia"/>
          <w:sz w:val="24"/>
          <w:szCs w:val="24"/>
          <w:lang w:val="en-US" w:eastAsia="zh-CN"/>
        </w:rPr>
        <w:t>成交供应商</w:t>
      </w:r>
      <w:r>
        <w:rPr>
          <w:rFonts w:hint="eastAsia" w:cs="宋体" w:asciiTheme="minorEastAsia" w:hAnsiTheme="minorEastAsia" w:eastAsiaTheme="minorEastAsia"/>
          <w:sz w:val="24"/>
          <w:szCs w:val="24"/>
        </w:rPr>
        <w:t>须负责医用气体的采购、运输、供应</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技术指导等服务</w:t>
      </w:r>
      <w:r>
        <w:rPr>
          <w:rFonts w:hint="eastAsia" w:cs="宋体" w:asciiTheme="minorEastAsia" w:hAnsiTheme="minorEastAsia" w:eastAsiaTheme="minorEastAsia"/>
          <w:sz w:val="24"/>
          <w:szCs w:val="24"/>
        </w:rPr>
        <w:t>。</w:t>
      </w:r>
    </w:p>
    <w:p w14:paraId="6E721018">
      <w:pPr>
        <w:pStyle w:val="8"/>
        <w:keepNext w:val="0"/>
        <w:keepLines w:val="0"/>
        <w:pageBreakBefore w:val="0"/>
        <w:numPr>
          <w:ilvl w:val="0"/>
          <w:numId w:val="4"/>
        </w:numPr>
        <w:tabs>
          <w:tab w:val="left" w:pos="540"/>
        </w:tabs>
        <w:kinsoku/>
        <w:wordWrap/>
        <w:overflowPunct/>
        <w:topLinePunct w:val="0"/>
        <w:bidi w:val="0"/>
        <w:adjustRightInd w:val="0"/>
        <w:snapToGrid w:val="0"/>
        <w:spacing w:line="440" w:lineRule="exact"/>
        <w:ind w:firstLine="480" w:firstLineChars="200"/>
        <w:outlineLvl w:val="9"/>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服务地点：广州市石井石潭西路88号或采购人指定地点。</w:t>
      </w:r>
    </w:p>
    <w:p w14:paraId="35B8E593">
      <w:pPr>
        <w:pStyle w:val="8"/>
        <w:keepNext w:val="0"/>
        <w:keepLines w:val="0"/>
        <w:pageBreakBefore w:val="0"/>
        <w:numPr>
          <w:ilvl w:val="0"/>
          <w:numId w:val="4"/>
        </w:numPr>
        <w:tabs>
          <w:tab w:val="left" w:pos="540"/>
        </w:tabs>
        <w:kinsoku/>
        <w:wordWrap/>
        <w:overflowPunct/>
        <w:topLinePunct w:val="0"/>
        <w:bidi w:val="0"/>
        <w:adjustRightInd w:val="0"/>
        <w:snapToGrid w:val="0"/>
        <w:spacing w:line="440" w:lineRule="exact"/>
        <w:ind w:firstLine="480" w:firstLineChars="200"/>
        <w:outlineLvl w:val="9"/>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服务期限：自合同签订之日起</w:t>
      </w:r>
      <w:r>
        <w:rPr>
          <w:rFonts w:hint="eastAsia" w:ascii="宋体" w:hAnsi="宋体"/>
          <w:kern w:val="0"/>
          <w:sz w:val="24"/>
          <w:szCs w:val="24"/>
        </w:rPr>
        <w:t>1年</w:t>
      </w:r>
      <w:r>
        <w:rPr>
          <w:rFonts w:hint="eastAsia" w:hAnsi="宋体"/>
          <w:kern w:val="0"/>
          <w:sz w:val="24"/>
          <w:szCs w:val="24"/>
          <w:lang w:val="en-US" w:eastAsia="zh-CN"/>
        </w:rPr>
        <w:t>或</w:t>
      </w:r>
      <w:r>
        <w:rPr>
          <w:rFonts w:hint="eastAsia" w:ascii="宋体" w:hAnsi="宋体"/>
          <w:sz w:val="24"/>
          <w:szCs w:val="24"/>
        </w:rPr>
        <w:t>采购人累计采购量达到项目预算金额为止，</w:t>
      </w:r>
      <w:r>
        <w:rPr>
          <w:rFonts w:hint="eastAsia" w:ascii="宋体" w:hAnsi="宋体"/>
          <w:sz w:val="24"/>
          <w:szCs w:val="24"/>
          <w:lang w:val="en-US" w:eastAsia="zh-CN"/>
        </w:rPr>
        <w:t>以</w:t>
      </w:r>
      <w:r>
        <w:rPr>
          <w:rFonts w:hint="eastAsia" w:ascii="宋体" w:hAnsi="宋体"/>
          <w:sz w:val="24"/>
          <w:szCs w:val="24"/>
        </w:rPr>
        <w:t>二者先到</w:t>
      </w:r>
      <w:r>
        <w:rPr>
          <w:rFonts w:hint="eastAsia" w:ascii="宋体" w:hAnsi="宋体"/>
          <w:sz w:val="24"/>
          <w:szCs w:val="24"/>
          <w:lang w:val="en-US" w:eastAsia="zh-CN"/>
        </w:rPr>
        <w:t>的为准</w:t>
      </w:r>
      <w:r>
        <w:rPr>
          <w:rFonts w:hint="eastAsia" w:hAnsi="宋体"/>
          <w:sz w:val="24"/>
          <w:szCs w:val="24"/>
          <w:lang w:val="en-US" w:eastAsia="zh-CN"/>
        </w:rPr>
        <w:t>。</w:t>
      </w:r>
    </w:p>
    <w:p w14:paraId="3B50FEC4">
      <w:pPr>
        <w:pStyle w:val="8"/>
        <w:keepNext w:val="0"/>
        <w:keepLines w:val="0"/>
        <w:pageBreakBefore w:val="0"/>
        <w:numPr>
          <w:ilvl w:val="0"/>
          <w:numId w:val="4"/>
        </w:numPr>
        <w:tabs>
          <w:tab w:val="left" w:pos="540"/>
        </w:tabs>
        <w:kinsoku/>
        <w:wordWrap/>
        <w:overflowPunct/>
        <w:topLinePunct w:val="0"/>
        <w:bidi w:val="0"/>
        <w:adjustRightInd w:val="0"/>
        <w:snapToGrid w:val="0"/>
        <w:spacing w:line="440" w:lineRule="exact"/>
        <w:ind w:firstLine="480" w:firstLineChars="200"/>
        <w:outlineLvl w:val="9"/>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本项目报价中应包采购清单中所有货物的价款、运输费、装卸费（卸至用户指定地点）、保险费用、气瓶使用费、气瓶保养费、气瓶检测费（含首次检测费）、税费以及售后服务费等一切费用，采购人无须向成交供应商另外支付其余任何费用。</w:t>
      </w:r>
    </w:p>
    <w:p w14:paraId="1D84317C">
      <w:pPr>
        <w:pStyle w:val="8"/>
        <w:keepNext w:val="0"/>
        <w:keepLines w:val="0"/>
        <w:pageBreakBefore w:val="0"/>
        <w:numPr>
          <w:ilvl w:val="0"/>
          <w:numId w:val="0"/>
        </w:numPr>
        <w:tabs>
          <w:tab w:val="left" w:pos="540"/>
        </w:tabs>
        <w:kinsoku/>
        <w:wordWrap/>
        <w:overflowPunct/>
        <w:topLinePunct w:val="0"/>
        <w:bidi w:val="0"/>
        <w:adjustRightInd w:val="0"/>
        <w:snapToGrid w:val="0"/>
        <w:spacing w:line="440" w:lineRule="exact"/>
        <w:ind w:leftChars="0" w:firstLine="482" w:firstLineChars="200"/>
        <w:outlineLvl w:val="9"/>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三、</w:t>
      </w:r>
      <w:r>
        <w:rPr>
          <w:rFonts w:hint="eastAsia" w:asciiTheme="minorEastAsia" w:hAnsiTheme="minorEastAsia" w:eastAsiaTheme="minorEastAsia"/>
          <w:b/>
          <w:bCs/>
          <w:sz w:val="24"/>
          <w:szCs w:val="24"/>
        </w:rPr>
        <w:t>采购清单</w:t>
      </w:r>
    </w:p>
    <w:tbl>
      <w:tblPr>
        <w:tblStyle w:val="16"/>
        <w:tblW w:w="8328" w:type="dxa"/>
        <w:tblInd w:w="0" w:type="dxa"/>
        <w:shd w:val="clear" w:color="auto" w:fill="auto"/>
        <w:tblLayout w:type="fixed"/>
        <w:tblCellMar>
          <w:top w:w="0" w:type="dxa"/>
          <w:left w:w="0" w:type="dxa"/>
          <w:bottom w:w="0" w:type="dxa"/>
          <w:right w:w="0" w:type="dxa"/>
        </w:tblCellMar>
      </w:tblPr>
      <w:tblGrid>
        <w:gridCol w:w="1798"/>
        <w:gridCol w:w="3060"/>
        <w:gridCol w:w="780"/>
        <w:gridCol w:w="1350"/>
        <w:gridCol w:w="1340"/>
      </w:tblGrid>
      <w:tr w14:paraId="5A8B0648">
        <w:tblPrEx>
          <w:tblCellMar>
            <w:top w:w="0" w:type="dxa"/>
            <w:left w:w="0" w:type="dxa"/>
            <w:bottom w:w="0" w:type="dxa"/>
            <w:right w:w="0" w:type="dxa"/>
          </w:tblCellMar>
        </w:tblPrEx>
        <w:trPr>
          <w:trHeight w:val="397" w:hRule="atLeast"/>
        </w:trPr>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3E97">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医用气体名称</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8B20E">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规格/参数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766FD">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0A09">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预估年用量</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6C11">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单价最高限价（元）</w:t>
            </w:r>
          </w:p>
        </w:tc>
      </w:tr>
      <w:tr w14:paraId="212F9CB5">
        <w:tblPrEx>
          <w:tblCellMar>
            <w:top w:w="0" w:type="dxa"/>
            <w:left w:w="0" w:type="dxa"/>
            <w:bottom w:w="0" w:type="dxa"/>
            <w:right w:w="0" w:type="dxa"/>
          </w:tblCellMar>
        </w:tblPrEx>
        <w:trPr>
          <w:trHeight w:val="597" w:hRule="atLeast"/>
        </w:trPr>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17D07">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医用液氧</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8C48">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纯度≧99.5%，瓶装杜瓦罐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76EB">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AFC0">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lang w:val="en-US" w:eastAsia="zh-CN" w:bidi="ar-SA"/>
              </w:rPr>
              <w:t>163000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0216C">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p>
        </w:tc>
      </w:tr>
      <w:tr w14:paraId="290BEADB">
        <w:tblPrEx>
          <w:tblCellMar>
            <w:top w:w="0" w:type="dxa"/>
            <w:left w:w="0" w:type="dxa"/>
            <w:bottom w:w="0" w:type="dxa"/>
            <w:right w:w="0" w:type="dxa"/>
          </w:tblCellMar>
        </w:tblPrEx>
        <w:trPr>
          <w:trHeight w:val="764" w:hRule="atLeast"/>
        </w:trPr>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A3EB4">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医用氧</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DBFDE">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纯度≧99.5%，钢瓶，</w:t>
            </w:r>
          </w:p>
          <w:p w14:paraId="482D5B17">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40L/瓶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DE1B9">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瓶</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D3B6">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lang w:val="en-US" w:eastAsia="zh-CN" w:bidi="ar-SA"/>
              </w:rPr>
              <w:t>61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3D65">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p>
        </w:tc>
      </w:tr>
      <w:tr w14:paraId="36ECDBA5">
        <w:tblPrEx>
          <w:tblCellMar>
            <w:top w:w="0" w:type="dxa"/>
            <w:left w:w="0" w:type="dxa"/>
            <w:bottom w:w="0" w:type="dxa"/>
            <w:right w:w="0" w:type="dxa"/>
          </w:tblCellMar>
        </w:tblPrEx>
        <w:trPr>
          <w:trHeight w:val="597" w:hRule="atLeast"/>
        </w:trPr>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B462">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高纯二氧化碳</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199B">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纯度99.99</w:t>
            </w:r>
            <w:r>
              <w:rPr>
                <w:rFonts w:hint="eastAsia" w:cs="宋体" w:asciiTheme="minorEastAsia" w:hAnsiTheme="minorEastAsia"/>
                <w:kern w:val="0"/>
                <w:sz w:val="24"/>
                <w:szCs w:val="24"/>
                <w:lang w:val="en-US" w:eastAsia="zh-CN" w:bidi="ar-SA"/>
              </w:rPr>
              <w:t>5</w:t>
            </w:r>
            <w:r>
              <w:rPr>
                <w:rFonts w:hint="eastAsia" w:cs="宋体" w:asciiTheme="minorEastAsia" w:hAnsiTheme="minorEastAsia" w:eastAsiaTheme="minorEastAsia"/>
                <w:kern w:val="0"/>
                <w:sz w:val="24"/>
                <w:szCs w:val="24"/>
                <w:lang w:val="en-US" w:eastAsia="zh-CN" w:bidi="ar-SA"/>
              </w:rPr>
              <w:t>%,40L/瓶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16CB">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瓶</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1F9A">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kern w:val="0"/>
                <w:sz w:val="24"/>
                <w:szCs w:val="24"/>
                <w:lang w:val="en-US" w:eastAsia="zh-CN" w:bidi="ar-SA"/>
              </w:rPr>
            </w:pPr>
            <w:r>
              <w:rPr>
                <w:rFonts w:hint="eastAsia" w:cs="宋体" w:asciiTheme="minorEastAsia" w:hAnsiTheme="minorEastAsia"/>
                <w:kern w:val="0"/>
                <w:sz w:val="24"/>
                <w:szCs w:val="24"/>
                <w:lang w:val="en-US" w:eastAsia="zh-CN" w:bidi="ar-SA"/>
              </w:rPr>
              <w:t>30</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122E3">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p>
        </w:tc>
      </w:tr>
      <w:tr w14:paraId="32991001">
        <w:tblPrEx>
          <w:shd w:val="clear" w:color="auto" w:fill="auto"/>
          <w:tblCellMar>
            <w:top w:w="0" w:type="dxa"/>
            <w:left w:w="0" w:type="dxa"/>
            <w:bottom w:w="0" w:type="dxa"/>
            <w:right w:w="0" w:type="dxa"/>
          </w:tblCellMar>
        </w:tblPrEx>
        <w:trPr>
          <w:trHeight w:val="637" w:hRule="atLeast"/>
        </w:trPr>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261B4">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纯氩</w:t>
            </w: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BC6E4">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纯度99.99%.150bar.40L/瓶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A7402">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瓶</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69FD">
            <w:pPr>
              <w:keepNext w:val="0"/>
              <w:keepLines w:val="0"/>
              <w:pageBreakBefore w:val="0"/>
              <w:widowControl/>
              <w:suppressLineNumbers w:val="0"/>
              <w:kinsoku/>
              <w:wordWrap/>
              <w:overflowPunct/>
              <w:topLinePunct w:val="0"/>
              <w:bidi w:val="0"/>
              <w:spacing w:line="440" w:lineRule="exact"/>
              <w:jc w:val="center"/>
              <w:textAlignment w:val="center"/>
              <w:outlineLvl w:val="9"/>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lang w:val="en-US" w:eastAsia="zh-CN" w:bidi="ar-SA"/>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F600">
            <w:pPr>
              <w:keepNext w:val="0"/>
              <w:keepLines w:val="0"/>
              <w:pageBreakBefore w:val="0"/>
              <w:widowControl/>
              <w:suppressLineNumbers w:val="0"/>
              <w:kinsoku/>
              <w:wordWrap/>
              <w:overflowPunct/>
              <w:topLinePunct w:val="0"/>
              <w:bidi w:val="0"/>
              <w:spacing w:line="440" w:lineRule="exact"/>
              <w:jc w:val="center"/>
              <w:textAlignment w:val="center"/>
              <w:outlineLvl w:val="9"/>
              <w:rPr>
                <w:rFonts w:hint="default" w:cs="宋体" w:asciiTheme="minorEastAsia" w:hAnsiTheme="minorEastAsia" w:eastAsiaTheme="minorEastAsia"/>
                <w:kern w:val="0"/>
                <w:sz w:val="24"/>
                <w:szCs w:val="24"/>
                <w:lang w:val="en-US" w:eastAsia="zh-CN" w:bidi="ar-SA"/>
              </w:rPr>
            </w:pPr>
          </w:p>
        </w:tc>
      </w:tr>
    </w:tbl>
    <w:p w14:paraId="5C39D906">
      <w:pPr>
        <w:pStyle w:val="8"/>
        <w:keepNext w:val="0"/>
        <w:keepLines w:val="0"/>
        <w:pageBreakBefore w:val="0"/>
        <w:numPr>
          <w:ilvl w:val="0"/>
          <w:numId w:val="0"/>
        </w:numPr>
        <w:tabs>
          <w:tab w:val="left" w:pos="540"/>
        </w:tabs>
        <w:kinsoku/>
        <w:wordWrap/>
        <w:overflowPunct/>
        <w:topLinePunct w:val="0"/>
        <w:bidi w:val="0"/>
        <w:adjustRightInd w:val="0"/>
        <w:snapToGrid w:val="0"/>
        <w:spacing w:line="440" w:lineRule="exact"/>
        <w:ind w:leftChars="200"/>
        <w:outlineLvl w:val="9"/>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四、成交供应商要求</w:t>
      </w:r>
    </w:p>
    <w:p w14:paraId="28166FA0">
      <w:pPr>
        <w:pStyle w:val="8"/>
        <w:keepNext w:val="0"/>
        <w:keepLines w:val="0"/>
        <w:pageBreakBefore w:val="0"/>
        <w:numPr>
          <w:ilvl w:val="0"/>
          <w:numId w:val="0"/>
        </w:numPr>
        <w:tabs>
          <w:tab w:val="left" w:pos="540"/>
        </w:tabs>
        <w:kinsoku/>
        <w:wordWrap/>
        <w:overflowPunct/>
        <w:topLinePunct w:val="0"/>
        <w:bidi w:val="0"/>
        <w:adjustRightInd w:val="0"/>
        <w:snapToGrid w:val="0"/>
        <w:spacing w:line="440" w:lineRule="exact"/>
        <w:ind w:leftChars="200"/>
        <w:outlineLvl w:val="9"/>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（一）成交供应商须具有独立承担民事责任的在中华人民共和国境内注册的法人，经营范围必须包含医用氧气、医用液氧等（提供法人的营业执照等证明材料）。</w:t>
      </w:r>
    </w:p>
    <w:p w14:paraId="23EF3D9F">
      <w:pPr>
        <w:pStyle w:val="8"/>
        <w:keepNext w:val="0"/>
        <w:keepLines w:val="0"/>
        <w:pageBreakBefore w:val="0"/>
        <w:numPr>
          <w:ilvl w:val="0"/>
          <w:numId w:val="0"/>
        </w:numPr>
        <w:tabs>
          <w:tab w:val="left" w:pos="540"/>
        </w:tabs>
        <w:kinsoku/>
        <w:wordWrap/>
        <w:overflowPunct/>
        <w:topLinePunct w:val="0"/>
        <w:bidi w:val="0"/>
        <w:adjustRightInd w:val="0"/>
        <w:snapToGrid w:val="0"/>
        <w:spacing w:line="440" w:lineRule="exact"/>
        <w:ind w:leftChars="200"/>
        <w:outlineLvl w:val="9"/>
        <w:rPr>
          <w:rFonts w:hint="eastAsia" w:asciiTheme="minorEastAsia" w:hAnsiTheme="minorEastAsia" w:eastAsiaTheme="minorEastAsia"/>
          <w:b w:val="0"/>
          <w:bCs w:val="0"/>
          <w:sz w:val="24"/>
          <w:szCs w:val="24"/>
          <w:lang w:val="en-US" w:eastAsia="zh-CN"/>
        </w:rPr>
      </w:pPr>
      <w:r>
        <w:rPr>
          <w:rFonts w:hint="eastAsia" w:asciiTheme="minorEastAsia" w:hAnsiTheme="minorEastAsia" w:eastAsiaTheme="minorEastAsia"/>
          <w:b w:val="0"/>
          <w:bCs w:val="0"/>
          <w:sz w:val="24"/>
          <w:szCs w:val="24"/>
          <w:lang w:val="en-US" w:eastAsia="zh-CN"/>
        </w:rPr>
        <w:t>（二）成交供应商是医用气体生产企业或经有效授权的医用气体代销企业。</w:t>
      </w:r>
    </w:p>
    <w:p w14:paraId="7464ADF4">
      <w:pPr>
        <w:pStyle w:val="8"/>
        <w:keepNext w:val="0"/>
        <w:keepLines w:val="0"/>
        <w:pageBreakBefore w:val="0"/>
        <w:numPr>
          <w:ilvl w:val="0"/>
          <w:numId w:val="0"/>
        </w:numPr>
        <w:tabs>
          <w:tab w:val="left" w:pos="540"/>
        </w:tabs>
        <w:kinsoku/>
        <w:wordWrap/>
        <w:overflowPunct/>
        <w:topLinePunct w:val="0"/>
        <w:bidi w:val="0"/>
        <w:adjustRightInd w:val="0"/>
        <w:snapToGrid w:val="0"/>
        <w:spacing w:line="440" w:lineRule="exact"/>
        <w:ind w:firstLine="482" w:firstLineChars="200"/>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五、</w:t>
      </w:r>
      <w:r>
        <w:rPr>
          <w:rFonts w:hint="eastAsia" w:asciiTheme="minorEastAsia" w:hAnsiTheme="minorEastAsia" w:eastAsiaTheme="minorEastAsia"/>
          <w:b/>
          <w:bCs/>
          <w:sz w:val="24"/>
          <w:szCs w:val="24"/>
        </w:rPr>
        <w:t>质量要求</w:t>
      </w:r>
    </w:p>
    <w:p w14:paraId="613D3ABD">
      <w:pPr>
        <w:keepNext w:val="0"/>
        <w:keepLines w:val="0"/>
        <w:pageBreakBefore w:val="0"/>
        <w:tabs>
          <w:tab w:val="left" w:pos="540"/>
        </w:tabs>
        <w:kinsoku/>
        <w:wordWrap/>
        <w:overflowPunct/>
        <w:topLinePunct w:val="0"/>
        <w:bidi w:val="0"/>
        <w:adjustRightInd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（一）成交供应商所提供的医用氧必须符合中华人民共和国国家安全环保标准、国家有关产品质量认证标准：符合《中华人民共和国药典20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版》要求，医用氧纯度≥99.5%以及其他相关的技术标准</w:t>
      </w:r>
      <w:r>
        <w:rPr>
          <w:rFonts w:hint="eastAsia" w:ascii="宋体" w:hAnsi="宋体" w:eastAsia="宋体" w:cs="宋体"/>
          <w:kern w:val="0"/>
          <w:sz w:val="24"/>
          <w:szCs w:val="24"/>
          <w:lang w:eastAsia="zh-CN"/>
        </w:rPr>
        <w:t>，若有新的药典标准颁布，则必须执行最新的《中国药典》版本要求。</w:t>
      </w:r>
      <w:r>
        <w:rPr>
          <w:rFonts w:hint="eastAsia" w:ascii="宋体" w:hAnsi="宋体" w:eastAsia="宋体" w:cs="宋体"/>
          <w:kern w:val="0"/>
          <w:sz w:val="24"/>
          <w:szCs w:val="24"/>
        </w:rPr>
        <w:t>严禁提供假冒伪劣物资，严禁用工业氧气冒充</w:t>
      </w:r>
      <w:r>
        <w:rPr>
          <w:rFonts w:hint="eastAsia" w:ascii="宋体" w:hAnsi="宋体" w:eastAsia="宋体" w:cs="宋体"/>
          <w:kern w:val="0"/>
          <w:sz w:val="24"/>
          <w:szCs w:val="24"/>
          <w:lang w:val="en-US" w:eastAsia="zh-CN"/>
        </w:rPr>
        <w:t>或替代</w:t>
      </w:r>
      <w:r>
        <w:rPr>
          <w:rFonts w:hint="eastAsia" w:ascii="宋体" w:hAnsi="宋体" w:eastAsia="宋体" w:cs="宋体"/>
          <w:kern w:val="0"/>
          <w:sz w:val="24"/>
          <w:szCs w:val="24"/>
        </w:rPr>
        <w:t>医用氧气。</w:t>
      </w:r>
    </w:p>
    <w:p w14:paraId="3D60A1F9">
      <w:pPr>
        <w:keepNext w:val="0"/>
        <w:keepLines w:val="0"/>
        <w:pageBreakBefore w:val="0"/>
        <w:tabs>
          <w:tab w:val="left" w:pos="540"/>
        </w:tabs>
        <w:kinsoku/>
        <w:wordWrap/>
        <w:overflowPunct/>
        <w:topLinePunct w:val="0"/>
        <w:bidi w:val="0"/>
        <w:adjustRightInd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二）成交供应商送医用氧时应向用户提供所供应产品的检验报告，如成交供应商所供医用氧不符合化验单标准，采购人有权要求成交供应商更换医用氧（达到原始的化验单标准）或终止协议并追究其法律责任及由此产生的一切费用。</w:t>
      </w:r>
    </w:p>
    <w:p w14:paraId="11BB96F3">
      <w:pPr>
        <w:keepNext w:val="0"/>
        <w:keepLines w:val="0"/>
        <w:pageBreakBefore w:val="0"/>
        <w:tabs>
          <w:tab w:val="left" w:pos="540"/>
        </w:tabs>
        <w:kinsoku/>
        <w:wordWrap/>
        <w:overflowPunct/>
        <w:topLinePunct w:val="0"/>
        <w:bidi w:val="0"/>
        <w:adjustRightInd w:val="0"/>
        <w:spacing w:line="440" w:lineRule="exact"/>
        <w:ind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（三）本项目所有使用气体充装容器由成交供应商提供，气瓶应符合国家安全质量要求，负责对气瓶（含医院提供的气瓶）进行维护保养，定期检验，并承担相关费用</w:t>
      </w:r>
      <w:r>
        <w:rPr>
          <w:rFonts w:hint="eastAsia" w:ascii="宋体" w:hAnsi="宋体" w:eastAsia="宋体" w:cs="宋体"/>
          <w:kern w:val="0"/>
          <w:sz w:val="24"/>
          <w:szCs w:val="24"/>
          <w:lang w:eastAsia="zh-CN"/>
        </w:rPr>
        <w:t>。</w:t>
      </w:r>
    </w:p>
    <w:p w14:paraId="278B2448">
      <w:pPr>
        <w:keepNext w:val="0"/>
        <w:keepLines w:val="0"/>
        <w:pageBreakBefore w:val="0"/>
        <w:tabs>
          <w:tab w:val="left" w:pos="540"/>
        </w:tabs>
        <w:kinsoku/>
        <w:wordWrap/>
        <w:overflowPunct/>
        <w:topLinePunct w:val="0"/>
        <w:bidi w:val="0"/>
        <w:adjustRightInd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（四）每个瓶装氧气都应帖有合格证，合格证上应注明：产品名称、生产企业、生产批号、生产日期、有效期、气体的容量（m3）、压力（Mpa）、质量（kg）和纯度（%）、执行标准代号等。</w:t>
      </w:r>
    </w:p>
    <w:p w14:paraId="7BEBAF8B">
      <w:pPr>
        <w:keepNext w:val="0"/>
        <w:keepLines w:val="0"/>
        <w:pageBreakBefore w:val="0"/>
        <w:widowControl/>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）每批次液态氧出厂前，必须按国家药品质量标准进行全检，并在供应货物时提供出厂检验合格证。</w:t>
      </w:r>
    </w:p>
    <w:p w14:paraId="6F5678C7">
      <w:pPr>
        <w:keepNext w:val="0"/>
        <w:keepLines w:val="0"/>
        <w:pageBreakBefore w:val="0"/>
        <w:widowControl/>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）成交供应商提供的杜瓦罐应符合国家安全质量要求，并具备有效的检测合格证。</w:t>
      </w:r>
    </w:p>
    <w:p w14:paraId="305C224D">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（七）成交供应商必须承诺提供的气体接口能与采购人现有设备相匹配，其中产生的费用由成交供应商承担。（</w:t>
      </w:r>
      <w:r>
        <w:rPr>
          <w:rFonts w:hint="eastAsia" w:ascii="宋体" w:hAnsi="宋体" w:eastAsia="宋体" w:cs="宋体"/>
          <w:sz w:val="24"/>
          <w:szCs w:val="24"/>
        </w:rPr>
        <w:t>供应商需在报价时</w:t>
      </w:r>
      <w:r>
        <w:rPr>
          <w:rFonts w:hint="eastAsia" w:ascii="宋体" w:hAnsi="宋体" w:eastAsia="宋体" w:cs="宋体"/>
          <w:kern w:val="0"/>
          <w:sz w:val="24"/>
          <w:szCs w:val="24"/>
        </w:rPr>
        <w:t>提供承诺函响应该条款）</w:t>
      </w:r>
      <w:r>
        <w:rPr>
          <w:rFonts w:hint="eastAsia" w:ascii="宋体" w:hAnsi="宋体" w:eastAsia="宋体" w:cs="宋体"/>
          <w:kern w:val="0"/>
          <w:sz w:val="24"/>
          <w:szCs w:val="24"/>
          <w:lang w:eastAsia="zh-CN"/>
        </w:rPr>
        <w:t>。</w:t>
      </w:r>
    </w:p>
    <w:p w14:paraId="7EB45EE6">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（八）成交供应商所投医用氧须具有有效的《药品注册证明》（</w:t>
      </w:r>
      <w:r>
        <w:rPr>
          <w:rFonts w:hint="eastAsia" w:ascii="宋体" w:hAnsi="宋体" w:eastAsia="宋体" w:cs="宋体"/>
          <w:sz w:val="24"/>
          <w:szCs w:val="24"/>
        </w:rPr>
        <w:t>在报价时</w:t>
      </w:r>
      <w:r>
        <w:rPr>
          <w:rFonts w:hint="eastAsia" w:ascii="宋体" w:hAnsi="宋体" w:eastAsia="宋体" w:cs="宋体"/>
          <w:kern w:val="0"/>
          <w:sz w:val="24"/>
          <w:szCs w:val="24"/>
        </w:rPr>
        <w:t>提供证明</w:t>
      </w:r>
      <w:r>
        <w:rPr>
          <w:rFonts w:hint="eastAsia" w:ascii="宋体" w:hAnsi="宋体" w:eastAsia="宋体" w:cs="宋体"/>
          <w:kern w:val="0"/>
          <w:sz w:val="24"/>
          <w:szCs w:val="24"/>
          <w:lang w:eastAsia="zh-CN"/>
        </w:rPr>
        <w:t>材料</w:t>
      </w:r>
      <w:r>
        <w:rPr>
          <w:rFonts w:hint="eastAsia" w:ascii="宋体" w:hAnsi="宋体" w:eastAsia="宋体" w:cs="宋体"/>
          <w:kern w:val="0"/>
          <w:sz w:val="24"/>
          <w:szCs w:val="24"/>
        </w:rPr>
        <w:t>复印件）。</w:t>
      </w:r>
    </w:p>
    <w:p w14:paraId="144E0DB0">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采购人使用的所有气瓶均由成交供应商免费提供，且应充分满足采购人的要求，所有使用气瓶应符合国家安全质量要求；中标供应商负责对气瓶（含采购人可能提供的气瓶）进行维护保养、定期检验并有第三方检测合格证明文件，相关费用全部由成交供应商承担</w:t>
      </w:r>
      <w:r>
        <w:rPr>
          <w:rFonts w:hint="eastAsia" w:ascii="宋体" w:hAnsi="宋体" w:eastAsia="宋体" w:cs="宋体"/>
          <w:kern w:val="0"/>
          <w:sz w:val="24"/>
          <w:szCs w:val="24"/>
          <w:lang w:eastAsia="zh-CN"/>
        </w:rPr>
        <w:t>。</w:t>
      </w:r>
    </w:p>
    <w:p w14:paraId="27AB9DFA">
      <w:pPr>
        <w:keepNext w:val="0"/>
        <w:keepLines w:val="0"/>
        <w:pageBreakBefore w:val="0"/>
        <w:widowControl/>
        <w:kinsoku/>
        <w:wordWrap/>
        <w:overflowPunct/>
        <w:topLinePunct w:val="0"/>
        <w:bidi w:val="0"/>
        <w:spacing w:line="440" w:lineRule="exact"/>
        <w:ind w:firstLine="480" w:firstLineChars="200"/>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十</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成交供应商</w:t>
      </w:r>
      <w:r>
        <w:rPr>
          <w:rFonts w:hint="eastAsia" w:ascii="宋体" w:hAnsi="宋体" w:eastAsia="宋体" w:cs="宋体"/>
          <w:kern w:val="0"/>
          <w:sz w:val="24"/>
          <w:szCs w:val="24"/>
          <w:lang w:val="en-US" w:eastAsia="zh-CN"/>
        </w:rPr>
        <w:t>如因产品生产质量或运输等有关问题被行业监管部门通报或作出相应处罚的，应立即如实告知采购人并将整改意见抄送采购人。</w:t>
      </w:r>
    </w:p>
    <w:p w14:paraId="2EA21859">
      <w:pPr>
        <w:pStyle w:val="8"/>
        <w:keepNext w:val="0"/>
        <w:keepLines w:val="0"/>
        <w:pageBreakBefore w:val="0"/>
        <w:numPr>
          <w:ilvl w:val="0"/>
          <w:numId w:val="0"/>
        </w:numPr>
        <w:tabs>
          <w:tab w:val="left" w:pos="540"/>
        </w:tabs>
        <w:kinsoku/>
        <w:wordWrap/>
        <w:overflowPunct/>
        <w:topLinePunct w:val="0"/>
        <w:bidi w:val="0"/>
        <w:adjustRightInd w:val="0"/>
        <w:snapToGrid w:val="0"/>
        <w:spacing w:line="440" w:lineRule="exact"/>
        <w:ind w:leftChars="0" w:firstLine="482" w:firstLineChars="200"/>
        <w:outlineLvl w:val="9"/>
        <w:rPr>
          <w:rFonts w:hAnsi="宋体" w:cs="宋体"/>
          <w:b/>
          <w:bCs/>
          <w:snapToGrid w:val="0"/>
          <w:sz w:val="24"/>
          <w:szCs w:val="24"/>
        </w:rPr>
      </w:pPr>
      <w:r>
        <w:rPr>
          <w:rFonts w:hint="eastAsia" w:asciiTheme="minorEastAsia" w:hAnsiTheme="minorEastAsia" w:eastAsiaTheme="minorEastAsia"/>
          <w:b/>
          <w:bCs/>
          <w:sz w:val="24"/>
          <w:szCs w:val="24"/>
          <w:lang w:val="en-US" w:eastAsia="zh-CN"/>
        </w:rPr>
        <w:t>六、</w:t>
      </w:r>
      <w:r>
        <w:rPr>
          <w:rFonts w:hint="eastAsia" w:asciiTheme="minorEastAsia" w:hAnsiTheme="minorEastAsia" w:eastAsiaTheme="minorEastAsia"/>
          <w:b/>
          <w:bCs/>
          <w:sz w:val="24"/>
          <w:szCs w:val="24"/>
        </w:rPr>
        <w:t>运输及车辆要求</w:t>
      </w:r>
    </w:p>
    <w:p w14:paraId="5DC434DF">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（一）总体运输要求</w:t>
      </w:r>
    </w:p>
    <w:p w14:paraId="6638D3A8">
      <w:pPr>
        <w:keepNext w:val="0"/>
        <w:keepLines w:val="0"/>
        <w:pageBreakBefore w:val="0"/>
        <w:kinsoku/>
        <w:wordWrap/>
        <w:overflowPunct/>
        <w:topLinePunct w:val="0"/>
        <w:bidi w:val="0"/>
        <w:spacing w:line="440" w:lineRule="exact"/>
        <w:ind w:firstLine="240" w:firstLineChars="100"/>
        <w:outlineLvl w:val="9"/>
        <w:rPr>
          <w:rFonts w:ascii="宋体" w:hAnsi="宋体" w:eastAsia="宋体" w:cs="宋体"/>
          <w:kern w:val="0"/>
          <w:sz w:val="24"/>
          <w:szCs w:val="24"/>
        </w:rPr>
      </w:pPr>
      <w:r>
        <w:rPr>
          <w:rFonts w:hint="eastAsia" w:ascii="宋体" w:hAnsi="宋体" w:eastAsia="宋体" w:cs="宋体"/>
          <w:kern w:val="0"/>
          <w:sz w:val="24"/>
          <w:szCs w:val="24"/>
        </w:rPr>
        <w:t xml:space="preserve"> 1、若成交供应商能直接提供医用氧运输服务的，应当</w:t>
      </w:r>
      <w:r>
        <w:rPr>
          <w:rFonts w:hint="eastAsia" w:ascii="宋体" w:hAnsi="宋体" w:eastAsia="宋体" w:cs="宋体"/>
          <w:kern w:val="0"/>
          <w:sz w:val="24"/>
          <w:szCs w:val="24"/>
          <w:lang w:eastAsia="zh-CN"/>
        </w:rPr>
        <w:t>同时</w:t>
      </w:r>
      <w:r>
        <w:rPr>
          <w:rFonts w:hint="eastAsia" w:ascii="宋体" w:hAnsi="宋体" w:eastAsia="宋体" w:cs="宋体"/>
          <w:kern w:val="0"/>
          <w:sz w:val="24"/>
          <w:szCs w:val="24"/>
        </w:rPr>
        <w:t>具备《道路运输经营许可证》（证书中必须有注明危险货物运输经营范围）及《广州市危险化学品车辆市区道路运输通行证》等有效证件</w:t>
      </w:r>
      <w:r>
        <w:rPr>
          <w:rFonts w:hint="eastAsia" w:ascii="宋体" w:hAnsi="宋体" w:eastAsia="宋体" w:cs="宋体"/>
          <w:kern w:val="0"/>
          <w:sz w:val="24"/>
          <w:szCs w:val="24"/>
          <w:lang w:eastAsia="zh-CN"/>
        </w:rPr>
        <w:t>；属于委托营运的，应提供双方的合作协议且受托方必须同时具有《道路危险货物运输许可证》及《广州市危险化学品车辆市区道路运输通行证》方可进行货物配送。（</w:t>
      </w:r>
      <w:r>
        <w:rPr>
          <w:rFonts w:hint="eastAsia" w:ascii="宋体" w:hAnsi="宋体" w:eastAsia="宋体" w:cs="宋体"/>
          <w:kern w:val="0"/>
          <w:sz w:val="24"/>
          <w:szCs w:val="24"/>
          <w:lang w:val="en-US" w:eastAsia="zh-CN"/>
        </w:rPr>
        <w:t>报价时</w:t>
      </w:r>
      <w:r>
        <w:rPr>
          <w:rFonts w:hint="eastAsia" w:ascii="宋体" w:hAnsi="宋体" w:eastAsia="宋体" w:cs="宋体"/>
          <w:kern w:val="0"/>
          <w:sz w:val="24"/>
          <w:szCs w:val="24"/>
          <w:lang w:eastAsia="zh-CN"/>
        </w:rPr>
        <w:t>提供加盖投标人公章的完整的证明材料复印件。）</w:t>
      </w:r>
    </w:p>
    <w:p w14:paraId="7AD1488D">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2、成交供应商应遵守国家、省市、行业等的相关法律法规有关危险货物运输的规定与要求；成交供应商应根据项目的实际情况编制具体适用的初步运输方案，确保运输工作合法、安全、有序地进行。</w:t>
      </w:r>
    </w:p>
    <w:p w14:paraId="0E15F6BD">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（二）具体运输要求</w:t>
      </w:r>
    </w:p>
    <w:p w14:paraId="251C3C8B">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1、严禁专用车辆违反国家有关规定超载、超限运输。成交供应商使用罐式专用车辆运输货物时，罐体载货后的总质量应当和专用车辆核定载质量相匹配。</w:t>
      </w:r>
      <w:bookmarkStart w:id="2" w:name="law46"/>
      <w:bookmarkEnd w:id="2"/>
    </w:p>
    <w:p w14:paraId="5DD069E1">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2、成交供应商应当通过卫星定位监控平台或者监控终端及时纠正和处理超速行驶、疲劳驾驶、不按规定线路行驶等违法违规驾驶行为。</w:t>
      </w:r>
    </w:p>
    <w:p w14:paraId="11F8C20B">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3、成交供应商应当采取必要措施，防止危险货物脱落、扬散、丢失以及燃烧、爆炸、泄漏等。</w:t>
      </w:r>
      <w:bookmarkStart w:id="3" w:name="law52"/>
      <w:bookmarkEnd w:id="3"/>
      <w:r>
        <w:rPr>
          <w:rFonts w:hint="eastAsia" w:ascii="宋体" w:hAnsi="宋体" w:eastAsia="宋体" w:cs="宋体"/>
          <w:kern w:val="0"/>
          <w:sz w:val="24"/>
          <w:szCs w:val="24"/>
        </w:rPr>
        <w:t>用于运输危险化学品的槽罐以及其他容器应当封口严密，能够防止危险化学品在运输过程中因温度、湿度或者压力的变化发生渗漏、洒漏；槽罐以及其他容器的溢流和泄压装置应当设置准确、起闭灵活。</w:t>
      </w:r>
    </w:p>
    <w:p w14:paraId="734250D2">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4、在危险货物装卸过程中，应当根据危险货物的性质，轻装轻卸，堆码整齐，防止混杂、撒漏、破损，不得与普通货物混合堆放。</w:t>
      </w:r>
    </w:p>
    <w:p w14:paraId="2BEBC3B0">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bookmarkStart w:id="4" w:name="law48"/>
      <w:bookmarkEnd w:id="4"/>
      <w:r>
        <w:rPr>
          <w:rFonts w:hint="eastAsia" w:ascii="宋体" w:hAnsi="宋体" w:eastAsia="宋体" w:cs="宋体"/>
          <w:kern w:val="0"/>
          <w:sz w:val="24"/>
          <w:szCs w:val="24"/>
        </w:rPr>
        <w:t>5、在危险货物运输过程中发生燃烧、爆炸、污染、中毒或者被盗、丢失、流散、泄漏等事故，驾驶人员、押运人员应当立即根据应急预案和《道路运输危险货物安全卡》的要求采取应急处置措施，并向事故发生地公安部门、交通运输主管部门和本运输企业或者单位报告。成交供应商接到事故报告后，应当按照本单位危险货物应急预案组织救援，并向事故发生地安全生产监督管理部门和环境保护、卫生主管部门报告。</w:t>
      </w:r>
    </w:p>
    <w:p w14:paraId="48324E20">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b/>
          <w:bCs/>
          <w:snapToGrid w:val="0"/>
          <w:kern w:val="0"/>
          <w:sz w:val="24"/>
          <w:szCs w:val="24"/>
        </w:rPr>
      </w:pPr>
      <w:r>
        <w:rPr>
          <w:rFonts w:hint="eastAsia" w:ascii="宋体" w:hAnsi="宋体" w:eastAsia="宋体" w:cs="宋体"/>
          <w:b w:val="0"/>
          <w:bCs w:val="0"/>
          <w:snapToGrid w:val="0"/>
          <w:kern w:val="0"/>
          <w:sz w:val="24"/>
          <w:szCs w:val="24"/>
        </w:rPr>
        <w:t>（三）运输专用车辆要求</w:t>
      </w:r>
    </w:p>
    <w:p w14:paraId="3834D54C">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1、成交供应商必须提供符合国务院交通主管部门有关危险货物运输安全要求的运输工具（运输专用车辆），并保证服务期内投入本项目的所有运输专用车辆均具有合法的所有权或使用权，且无重大交通责任事故或犯罪记录，无因此而产生任何法律纠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在报价时提供承诺函</w:t>
      </w:r>
      <w:r>
        <w:rPr>
          <w:rFonts w:hint="eastAsia" w:ascii="宋体" w:hAnsi="宋体" w:eastAsia="宋体" w:cs="宋体"/>
          <w:kern w:val="0"/>
          <w:sz w:val="24"/>
          <w:szCs w:val="24"/>
          <w:lang w:eastAsia="zh-CN"/>
        </w:rPr>
        <w:t>）</w:t>
      </w:r>
    </w:p>
    <w:p w14:paraId="3E7D1E5D">
      <w:pPr>
        <w:keepNext w:val="0"/>
        <w:keepLines w:val="0"/>
        <w:pageBreakBefore w:val="0"/>
        <w:widowControl/>
        <w:kinsoku/>
        <w:wordWrap/>
        <w:overflowPunct/>
        <w:topLinePunct w:val="0"/>
        <w:bidi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2、投入本项目的运输专用车辆应具有从事危险货物道路运输的《道路运输证》及应当按照国家标准《道路运输危险货物车辆标志》（GB13392）的要求悬挂标志。</w:t>
      </w:r>
    </w:p>
    <w:p w14:paraId="61FB3529">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3、运输专用车辆均须符合国家有关安全、环保、年审及营运等法律、法规及规章等要求。</w:t>
      </w:r>
    </w:p>
    <w:p w14:paraId="653D5430">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4、运输专用车辆均须依法购置有关的车辆保险（含第三者商业责任险、车上责任险）。</w:t>
      </w:r>
    </w:p>
    <w:p w14:paraId="21419CF9">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5、运输专用车辆均须符合国家及本项目服务行政区域内有关尾气排放量及相关环保标准。</w:t>
      </w:r>
    </w:p>
    <w:p w14:paraId="14C998F1">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6、运输专用车辆技术性能符合国家标准《营运车辆综合性能要求和检验方法》（GB18565）的要求；技术等级达到行业标准《营运车辆技术等级划分和评定要求》（JT/T198）规定的一级技术等级。</w:t>
      </w:r>
    </w:p>
    <w:p w14:paraId="2CD98055">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7、运输专用车辆外廓尺寸、轴荷和质量符合国家标准《道路车辆外廓尺寸、轴荷和质量限值》（GB1589）的要求。</w:t>
      </w:r>
    </w:p>
    <w:p w14:paraId="71DA0EF8">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8、罐式专用车辆的罐体应当经质量检验部门检验合格，且罐体载货后总质量与专用车辆核定载质量相匹配。</w:t>
      </w:r>
    </w:p>
    <w:p w14:paraId="6B352BE4">
      <w:pPr>
        <w:keepNext w:val="0"/>
        <w:keepLines w:val="0"/>
        <w:pageBreakBefore w:val="0"/>
        <w:kinsoku/>
        <w:wordWrap/>
        <w:overflowPunct/>
        <w:topLinePunct w:val="0"/>
        <w:bidi w:val="0"/>
        <w:spacing w:line="440" w:lineRule="exact"/>
        <w:ind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rPr>
        <w:t>9、运输专用车辆应当配备有效的通讯工具及安装具有行驶记录功能的卫星定位装置。</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因采购人特殊监管要求，在进入采购人监管场所时运输车辆需关闭卫星定位或视频类行车记录仪等，采购人可配合供应商向有关交管部门说明情况，提供有关证明材料。</w:t>
      </w:r>
      <w:r>
        <w:rPr>
          <w:rFonts w:hint="eastAsia" w:ascii="宋体" w:hAnsi="宋体" w:eastAsia="宋体" w:cs="宋体"/>
          <w:kern w:val="0"/>
          <w:sz w:val="24"/>
          <w:szCs w:val="24"/>
          <w:lang w:eastAsia="zh-CN"/>
        </w:rPr>
        <w:t>）</w:t>
      </w:r>
    </w:p>
    <w:p w14:paraId="64740D36">
      <w:pPr>
        <w:keepNext w:val="0"/>
        <w:keepLines w:val="0"/>
        <w:pageBreakBefore w:val="0"/>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10、运输专用车辆应当配备与运输的危险货物性质相适应的安全防护、环境保护和消防设施设备。</w:t>
      </w:r>
    </w:p>
    <w:p w14:paraId="226FF51A">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11、成交供应商应当负责维护、检测、使用和管理专用车辆，确保专用车辆技术状况良好。</w:t>
      </w:r>
    </w:p>
    <w:p w14:paraId="54782139">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b w:val="0"/>
          <w:bCs w:val="0"/>
          <w:snapToGrid w:val="0"/>
          <w:kern w:val="0"/>
          <w:sz w:val="24"/>
          <w:szCs w:val="24"/>
          <w:lang w:val="en-US" w:eastAsia="zh-CN"/>
        </w:rPr>
      </w:pPr>
      <w:r>
        <w:rPr>
          <w:rFonts w:hint="eastAsia" w:ascii="宋体" w:hAnsi="宋体" w:eastAsia="宋体" w:cs="宋体"/>
          <w:b w:val="0"/>
          <w:bCs w:val="0"/>
          <w:snapToGrid w:val="0"/>
          <w:kern w:val="0"/>
          <w:sz w:val="24"/>
          <w:szCs w:val="24"/>
          <w:lang w:eastAsia="zh-CN"/>
        </w:rPr>
        <w:t>（</w:t>
      </w:r>
      <w:r>
        <w:rPr>
          <w:rFonts w:hint="eastAsia" w:ascii="宋体" w:hAnsi="宋体" w:eastAsia="宋体" w:cs="宋体"/>
          <w:b w:val="0"/>
          <w:bCs w:val="0"/>
          <w:snapToGrid w:val="0"/>
          <w:kern w:val="0"/>
          <w:sz w:val="24"/>
          <w:szCs w:val="24"/>
          <w:lang w:val="en-US" w:eastAsia="zh-CN"/>
        </w:rPr>
        <w:t>四</w:t>
      </w:r>
      <w:r>
        <w:rPr>
          <w:rFonts w:hint="eastAsia" w:ascii="宋体" w:hAnsi="宋体" w:eastAsia="宋体" w:cs="宋体"/>
          <w:b w:val="0"/>
          <w:bCs w:val="0"/>
          <w:snapToGrid w:val="0"/>
          <w:kern w:val="0"/>
          <w:sz w:val="24"/>
          <w:szCs w:val="24"/>
          <w:lang w:eastAsia="zh-CN"/>
        </w:rPr>
        <w:t>）</w:t>
      </w:r>
      <w:r>
        <w:rPr>
          <w:rFonts w:hint="eastAsia" w:ascii="宋体" w:hAnsi="宋体" w:eastAsia="宋体" w:cs="宋体"/>
          <w:b w:val="0"/>
          <w:bCs w:val="0"/>
          <w:snapToGrid w:val="0"/>
          <w:kern w:val="0"/>
          <w:sz w:val="24"/>
          <w:szCs w:val="24"/>
          <w:lang w:val="en-US" w:eastAsia="zh-CN"/>
        </w:rPr>
        <w:t>运输人员要求</w:t>
      </w:r>
    </w:p>
    <w:p w14:paraId="7D4DB73C">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1、成交供应商或委托运输机构</w:t>
      </w:r>
      <w:r>
        <w:rPr>
          <w:rFonts w:hint="eastAsia" w:ascii="宋体" w:hAnsi="宋体" w:eastAsia="宋体" w:cs="宋体"/>
          <w:kern w:val="0"/>
          <w:sz w:val="24"/>
          <w:szCs w:val="24"/>
        </w:rPr>
        <w:t>须配有专职危险货物驾驶员并同时配有随车专职押运员</w:t>
      </w:r>
      <w:r>
        <w:rPr>
          <w:rFonts w:hint="eastAsia" w:ascii="宋体" w:hAnsi="宋体" w:eastAsia="宋体" w:cs="宋体"/>
          <w:kern w:val="0"/>
          <w:sz w:val="24"/>
          <w:szCs w:val="24"/>
          <w:lang w:eastAsia="zh-CN"/>
        </w:rPr>
        <w:t>，配送人员须具有危险品运输驾驶证，危险品运输押运证等有关从业资质。</w:t>
      </w:r>
    </w:p>
    <w:p w14:paraId="33A0BDFE">
      <w:pPr>
        <w:keepNext w:val="0"/>
        <w:keepLines w:val="0"/>
        <w:pageBreakBefore w:val="0"/>
        <w:widowControl/>
        <w:kinsoku/>
        <w:wordWrap/>
        <w:overflowPunct/>
        <w:topLinePunct w:val="0"/>
        <w:bidi w:val="0"/>
        <w:spacing w:line="440" w:lineRule="exact"/>
        <w:ind w:firstLine="480" w:firstLineChars="200"/>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 xml:space="preserve"> 道路危险货物运输从业人员必须熟悉有关安全生产的法规、技术标准和安全生产规章制度、安全操作规程，了解所装运危险货物的性质、危害特性、包装物或者容器的使用要求和发生意外事故时的处置措施，并严格执行</w:t>
      </w:r>
      <w:r>
        <w:rPr>
          <w:rFonts w:hint="eastAsia" w:ascii="宋体" w:hAnsi="宋体" w:eastAsia="宋体" w:cs="宋体"/>
          <w:kern w:val="0"/>
          <w:sz w:val="24"/>
          <w:szCs w:val="24"/>
          <w:lang w:val="en-US" w:eastAsia="zh-CN"/>
        </w:rPr>
        <w:t>有关运输标准，不得违章作业。</w:t>
      </w:r>
    </w:p>
    <w:p w14:paraId="6AE338D5">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b/>
          <w:bCs/>
          <w:snapToGrid w:val="0"/>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医用氧气产品的存储、运送、使用有相关危险性，</w:t>
      </w:r>
      <w:r>
        <w:rPr>
          <w:rFonts w:hint="eastAsia" w:ascii="宋体" w:hAnsi="宋体" w:eastAsia="宋体" w:cs="宋体"/>
          <w:kern w:val="0"/>
          <w:sz w:val="24"/>
          <w:szCs w:val="24"/>
          <w:lang w:val="en-US" w:eastAsia="zh-CN"/>
        </w:rPr>
        <w:t>成交供应商</w:t>
      </w:r>
      <w:r>
        <w:rPr>
          <w:rFonts w:hint="eastAsia" w:ascii="宋体" w:hAnsi="宋体" w:eastAsia="宋体" w:cs="宋体"/>
          <w:kern w:val="0"/>
          <w:sz w:val="24"/>
          <w:szCs w:val="24"/>
          <w:lang w:eastAsia="zh-CN"/>
        </w:rPr>
        <w:t>有义务负责警示并保护其员工在储存、运送及使用产品过程免受此种危险。</w:t>
      </w:r>
    </w:p>
    <w:p w14:paraId="33C0295D">
      <w:pPr>
        <w:keepNext w:val="0"/>
        <w:keepLines w:val="0"/>
        <w:pageBreakBefore w:val="0"/>
        <w:widowControl/>
        <w:kinsoku/>
        <w:wordWrap/>
        <w:overflowPunct/>
        <w:topLinePunct w:val="0"/>
        <w:bidi w:val="0"/>
        <w:spacing w:line="440" w:lineRule="exact"/>
        <w:ind w:firstLine="482" w:firstLineChars="200"/>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交货</w:t>
      </w:r>
      <w:r>
        <w:rPr>
          <w:rFonts w:hint="eastAsia" w:ascii="宋体" w:hAnsi="宋体" w:eastAsia="宋体" w:cs="宋体"/>
          <w:b/>
          <w:bCs/>
          <w:kern w:val="0"/>
          <w:sz w:val="24"/>
          <w:szCs w:val="24"/>
          <w:lang w:val="en-US" w:eastAsia="zh-CN"/>
        </w:rPr>
        <w:t>和验收</w:t>
      </w:r>
      <w:r>
        <w:rPr>
          <w:rFonts w:hint="eastAsia" w:ascii="宋体" w:hAnsi="宋体" w:eastAsia="宋体" w:cs="宋体"/>
          <w:b/>
          <w:bCs/>
          <w:kern w:val="0"/>
          <w:sz w:val="24"/>
          <w:szCs w:val="24"/>
        </w:rPr>
        <w:t>要求</w:t>
      </w:r>
    </w:p>
    <w:p w14:paraId="0483240E">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一</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rPr>
        <w:t>交货要求</w:t>
      </w:r>
    </w:p>
    <w:p w14:paraId="4394A405">
      <w:pPr>
        <w:keepNext w:val="0"/>
        <w:keepLines w:val="0"/>
        <w:pageBreakBefore w:val="0"/>
        <w:widowControl/>
        <w:kinsoku/>
        <w:wordWrap/>
        <w:overflowPunct/>
        <w:topLinePunct w:val="0"/>
        <w:bidi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成交供应商应拥有完善的储存、中转、运输和装卸等配套设施。</w:t>
      </w:r>
    </w:p>
    <w:p w14:paraId="454AF4F7">
      <w:pPr>
        <w:keepNext w:val="0"/>
        <w:keepLines w:val="0"/>
        <w:pageBreakBefore w:val="0"/>
        <w:widowControl/>
        <w:kinsoku/>
        <w:wordWrap/>
        <w:overflowPunct/>
        <w:topLinePunct w:val="0"/>
        <w:bidi w:val="0"/>
        <w:spacing w:line="440" w:lineRule="exact"/>
        <w:ind w:left="1"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配备的储存、中转、装卸货物必须符合国家有关要求，必须符合安全监管部门危险化学品储存标准。</w:t>
      </w:r>
    </w:p>
    <w:p w14:paraId="444802F8">
      <w:pPr>
        <w:keepNext w:val="0"/>
        <w:keepLines w:val="0"/>
        <w:pageBreakBefore w:val="0"/>
        <w:widowControl/>
        <w:kinsoku/>
        <w:wordWrap/>
        <w:overflowPunct/>
        <w:topLinePunct w:val="0"/>
        <w:bidi w:val="0"/>
        <w:adjustRightInd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为了保证货物在长途运输和装卸过程中的安全，货物包装应符合国家或行业标准规定。货物的包装均应有良好的防湿、防锈、防潮、防雨、防腐及防碰撞的措施，并适宜当地的气候条件。凡由于包装不良造成的损失和由此产生的费用均由成交供应商承担。</w:t>
      </w:r>
    </w:p>
    <w:p w14:paraId="1BEAD189">
      <w:pPr>
        <w:keepNext w:val="0"/>
        <w:keepLines w:val="0"/>
        <w:pageBreakBefore w:val="0"/>
        <w:widowControl/>
        <w:kinsoku/>
        <w:wordWrap/>
        <w:overflowPunct/>
        <w:topLinePunct w:val="0"/>
        <w:bidi w:val="0"/>
        <w:adjustRightInd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供应商应具有仓储配送能力，具备满足本项目配送需求的运输车辆，保证准时、准点将货物妥善送达采购人指定交货地点，并负责货物的运输、搬运及装卸等服务工作及由此产生的一切费用也由成交供应商负责。</w:t>
      </w:r>
    </w:p>
    <w:p w14:paraId="209EC7B9">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在货物交付采购人之前的运输安全及保管工作由成交供应商自行负责。</w:t>
      </w:r>
    </w:p>
    <w:p w14:paraId="38CB977D">
      <w:pPr>
        <w:keepNext w:val="0"/>
        <w:keepLines w:val="0"/>
        <w:pageBreakBefore w:val="0"/>
        <w:widowControl/>
        <w:kinsoku/>
        <w:wordWrap/>
        <w:overflowPunct/>
        <w:topLinePunct w:val="0"/>
        <w:bidi w:val="0"/>
        <w:adjustRightInd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成交供应商须配合采购人按采购产品的要求，有计划的进行供货，所有物品成交供应商应根据采购人的特殊性进行储备。</w:t>
      </w:r>
    </w:p>
    <w:p w14:paraId="3A14BB9B">
      <w:pPr>
        <w:keepNext w:val="0"/>
        <w:keepLines w:val="0"/>
        <w:pageBreakBefore w:val="0"/>
        <w:widowControl/>
        <w:kinsoku/>
        <w:wordWrap/>
        <w:overflowPunct/>
        <w:topLinePunct w:val="0"/>
        <w:bidi w:val="0"/>
        <w:adjustRightInd w:val="0"/>
        <w:spacing w:line="440" w:lineRule="exact"/>
        <w:ind w:firstLine="480" w:firstLineChars="2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采购人</w:t>
      </w:r>
      <w:r>
        <w:rPr>
          <w:rFonts w:hint="eastAsia" w:ascii="宋体" w:hAnsi="宋体" w:eastAsia="宋体" w:cs="宋体"/>
          <w:kern w:val="0"/>
          <w:sz w:val="24"/>
          <w:szCs w:val="24"/>
        </w:rPr>
        <w:t>以书面</w:t>
      </w:r>
      <w:r>
        <w:rPr>
          <w:rFonts w:hint="eastAsia" w:ascii="宋体" w:hAnsi="宋体" w:eastAsia="宋体" w:cs="宋体"/>
          <w:kern w:val="0"/>
          <w:sz w:val="24"/>
          <w:szCs w:val="24"/>
          <w:lang w:val="en-US" w:eastAsia="zh-CN"/>
        </w:rPr>
        <w:t>、微信或</w:t>
      </w:r>
      <w:r>
        <w:rPr>
          <w:rFonts w:hint="eastAsia" w:ascii="宋体" w:hAnsi="宋体" w:eastAsia="宋体" w:cs="宋体"/>
          <w:kern w:val="0"/>
          <w:sz w:val="24"/>
          <w:szCs w:val="24"/>
        </w:rPr>
        <w:t>电话</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rPr>
        <w:t>通知</w:t>
      </w:r>
      <w:r>
        <w:rPr>
          <w:rFonts w:hint="eastAsia" w:ascii="宋体" w:hAnsi="宋体" w:eastAsia="宋体" w:cs="宋体"/>
          <w:kern w:val="0"/>
          <w:sz w:val="24"/>
          <w:szCs w:val="24"/>
          <w:lang w:val="en-US" w:eastAsia="zh-CN"/>
        </w:rPr>
        <w:t>方式进行下单</w:t>
      </w:r>
      <w:r>
        <w:rPr>
          <w:rFonts w:hint="eastAsia" w:ascii="宋体" w:hAnsi="宋体" w:eastAsia="宋体" w:cs="宋体"/>
          <w:kern w:val="0"/>
          <w:sz w:val="24"/>
          <w:szCs w:val="24"/>
        </w:rPr>
        <w:t>，成交供应商在收到通知后，由成交供应商用符合国家规定的运输工具，按通知中规定的数量、交货地点等要求送达并卸至指定的地点。如遇特殊情况，成交供应商须配合医院紧急用气的需求。交货时将对实际供货情况作记录，并由双方签字确认。</w:t>
      </w:r>
    </w:p>
    <w:p w14:paraId="54FF325F">
      <w:pPr>
        <w:keepNext w:val="0"/>
        <w:keepLines w:val="0"/>
        <w:pageBreakBefore w:val="0"/>
        <w:tabs>
          <w:tab w:val="left" w:pos="720"/>
        </w:tabs>
        <w:kinsoku/>
        <w:wordWrap/>
        <w:overflowPunct/>
        <w:topLinePunct w:val="0"/>
        <w:autoSpaceDE w:val="0"/>
        <w:autoSpaceDN w:val="0"/>
        <w:bidi w:val="0"/>
        <w:adjustRightInd w:val="0"/>
        <w:snapToGrid w:val="0"/>
        <w:spacing w:line="440" w:lineRule="exact"/>
        <w:ind w:firstLine="480" w:firstLineChars="200"/>
        <w:textAlignment w:val="baseline"/>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r>
        <w:rPr>
          <w:rFonts w:hint="eastAsia" w:ascii="宋体" w:hAnsi="宋体" w:eastAsia="宋体" w:cs="宋体"/>
          <w:snapToGrid w:val="0"/>
          <w:kern w:val="0"/>
          <w:sz w:val="24"/>
          <w:szCs w:val="24"/>
          <w:lang w:val="en-US" w:eastAsia="zh-CN"/>
        </w:rPr>
        <w:t>成交供应商不按照规定时间将货物送达至采购人指定地点或送达货物不合格，质量存在问题的，每次扣罚500元，逾期3次以上的，采购人有权单方面终止合同，同时</w:t>
      </w:r>
      <w:r>
        <w:rPr>
          <w:rFonts w:hint="eastAsia" w:ascii="宋体" w:hAnsi="宋体" w:eastAsia="宋体" w:cs="宋体"/>
          <w:snapToGrid w:val="0"/>
          <w:kern w:val="0"/>
          <w:sz w:val="24"/>
          <w:szCs w:val="24"/>
        </w:rPr>
        <w:t>承担由此带来的一切经济赔偿与法律责任</w:t>
      </w:r>
      <w:r>
        <w:rPr>
          <w:rFonts w:hint="eastAsia" w:ascii="宋体" w:hAnsi="宋体" w:eastAsia="宋体" w:cs="宋体"/>
          <w:snapToGrid w:val="0"/>
          <w:kern w:val="0"/>
          <w:sz w:val="24"/>
          <w:szCs w:val="24"/>
          <w:lang w:eastAsia="zh-CN"/>
        </w:rPr>
        <w:t>。</w:t>
      </w:r>
    </w:p>
    <w:p w14:paraId="4FEA5F89">
      <w:pPr>
        <w:keepNext w:val="0"/>
        <w:keepLines w:val="0"/>
        <w:pageBreakBefore w:val="0"/>
        <w:widowControl/>
        <w:tabs>
          <w:tab w:val="left" w:pos="900"/>
          <w:tab w:val="left" w:pos="1140"/>
        </w:tabs>
        <w:kinsoku/>
        <w:wordWrap/>
        <w:overflowPunct/>
        <w:topLinePunct w:val="0"/>
        <w:bidi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二</w:t>
      </w:r>
      <w:r>
        <w:rPr>
          <w:rFonts w:hint="eastAsia" w:ascii="宋体" w:hAnsi="宋体" w:eastAsia="宋体" w:cs="宋体"/>
          <w:b w:val="0"/>
          <w:bCs w:val="0"/>
          <w:kern w:val="0"/>
          <w:sz w:val="24"/>
          <w:szCs w:val="24"/>
        </w:rPr>
        <w:t>）验收要求</w:t>
      </w:r>
    </w:p>
    <w:p w14:paraId="75133E2C">
      <w:pPr>
        <w:keepNext w:val="0"/>
        <w:keepLines w:val="0"/>
        <w:pageBreakBefore w:val="0"/>
        <w:widowControl/>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成交供应商在送货时需向采购人提交该批次医用氧检验报告书及送货单。检验按国家医用气体相关规定进行，对检验不合格的货物，采购人拒绝接收，并且承担由此产生的一切费用。</w:t>
      </w:r>
    </w:p>
    <w:p w14:paraId="101400D1">
      <w:pPr>
        <w:keepNext w:val="0"/>
        <w:keepLines w:val="0"/>
        <w:pageBreakBefore w:val="0"/>
        <w:widowControl/>
        <w:kinsoku/>
        <w:wordWrap/>
        <w:overflowPunct/>
        <w:topLinePunct w:val="0"/>
        <w:bidi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采购人按国家有关规定、规范进行验收，必要时邀请相关的专业人员或机构参与验收。因货物质量问题发生争议时，由广东省或广州市质检部门进行质量鉴定。采购人与成交供应商认为有需要，可以共同提出或分别提出质量鉴定，广东省质检部门与广州市质检部门的鉴定结论不一致的，以广东省质检部门的鉴定结论为准。产品符合质量标准的，鉴定费由采购人承担；产品不符合质量标准的，鉴定费由成交供应商承担。</w:t>
      </w:r>
    </w:p>
    <w:p w14:paraId="5C5D7116">
      <w:pPr>
        <w:keepNext w:val="0"/>
        <w:keepLines w:val="0"/>
        <w:pageBreakBefore w:val="0"/>
        <w:widowControl/>
        <w:kinsoku/>
        <w:wordWrap/>
        <w:overflowPunct/>
        <w:topLinePunct w:val="0"/>
        <w:bidi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成交供应商供货时需严格按照采购人下达货物清单为准，需符合文件规定的产品质量和要求</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若提供货物不符合要求，</w:t>
      </w:r>
      <w:r>
        <w:rPr>
          <w:rFonts w:hint="eastAsia" w:ascii="宋体" w:hAnsi="宋体" w:eastAsia="宋体" w:cs="宋体"/>
          <w:kern w:val="0"/>
          <w:sz w:val="24"/>
          <w:szCs w:val="24"/>
        </w:rPr>
        <w:t>采购人有权按违约处理,且成交供应商需赔偿因此给采购人带来的损失和一切后果与责任。</w:t>
      </w:r>
    </w:p>
    <w:p w14:paraId="5E87812F">
      <w:pPr>
        <w:keepNext w:val="0"/>
        <w:keepLines w:val="0"/>
        <w:pageBreakBefore w:val="0"/>
        <w:widowControl/>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属于国家强制性产品认证目录内的产品，在供货验收时成交供应商必须提供所有此类产品的3C认证证书复印件并加盖制造商公章；若未能提供属于国家强制性产品认证目录内的产品的3C认证证书复印件则按成交供应商违约处理。</w:t>
      </w:r>
    </w:p>
    <w:p w14:paraId="1C230E9F">
      <w:pPr>
        <w:keepNext w:val="0"/>
        <w:keepLines w:val="0"/>
        <w:pageBreakBefore w:val="0"/>
        <w:widowControl/>
        <w:kinsoku/>
        <w:wordWrap/>
        <w:overflowPunct/>
        <w:topLinePunct w:val="0"/>
        <w:bidi w:val="0"/>
        <w:spacing w:line="440" w:lineRule="exact"/>
        <w:ind w:firstLine="482" w:firstLineChars="200"/>
        <w:jc w:val="left"/>
        <w:outlineLvl w:val="9"/>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八、售后服务和应急、安全生产要求</w:t>
      </w:r>
    </w:p>
    <w:p w14:paraId="29F8763F">
      <w:pPr>
        <w:keepNext w:val="0"/>
        <w:keepLines w:val="0"/>
        <w:pageBreakBefore w:val="0"/>
        <w:widowControl/>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在《中华人民共和国药典》（20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年版）标准规定的质保期内，成交供应商对所供的医用氧由于制造或材料缺陷而发生的任何损失负责。由于成交供应商所供医用</w:t>
      </w:r>
      <w:r>
        <w:rPr>
          <w:rFonts w:hint="eastAsia" w:ascii="宋体" w:hAnsi="宋体" w:eastAsia="宋体" w:cs="宋体"/>
          <w:kern w:val="0"/>
          <w:sz w:val="24"/>
          <w:szCs w:val="24"/>
          <w:lang w:val="en-US" w:eastAsia="zh-CN"/>
        </w:rPr>
        <w:t>气体</w:t>
      </w:r>
      <w:r>
        <w:rPr>
          <w:rFonts w:hint="eastAsia" w:ascii="宋体" w:hAnsi="宋体" w:eastAsia="宋体" w:cs="宋体"/>
          <w:kern w:val="0"/>
          <w:sz w:val="24"/>
          <w:szCs w:val="24"/>
        </w:rPr>
        <w:t>质量问题而导致的医疗纠纷及经济损失，由成交供应商承担全部责任及全额赔偿，采购人有权保留追究成交供应商相关责任并终止合同。</w:t>
      </w:r>
    </w:p>
    <w:p w14:paraId="35CF98FA">
      <w:pPr>
        <w:keepNext w:val="0"/>
        <w:keepLines w:val="0"/>
        <w:pageBreakBefore w:val="0"/>
        <w:widowControl/>
        <w:kinsoku/>
        <w:wordWrap/>
        <w:overflowPunct/>
        <w:topLinePunct w:val="0"/>
        <w:bidi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成交供应商应有稳定售后服务机构（点）或部门，质保期内指派专人负责与采购人联系售后服务事宜，提供每周7×24小时服务专线和长期的免费技术支持。如需紧急维修，应在2小时或以内响应到现场处理。</w:t>
      </w:r>
    </w:p>
    <w:p w14:paraId="2CF9BA13">
      <w:pPr>
        <w:keepNext w:val="0"/>
        <w:keepLines w:val="0"/>
        <w:pageBreakBefore w:val="0"/>
        <w:widowControl/>
        <w:kinsoku/>
        <w:wordWrap/>
        <w:overflowPunct/>
        <w:topLinePunct w:val="0"/>
        <w:bidi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成交供应商提供的产品如出现质量问题、气瓶漏气等，应在收到采购人通知后2小时</w:t>
      </w:r>
      <w:r>
        <w:rPr>
          <w:rFonts w:hint="eastAsia" w:ascii="宋体" w:hAnsi="宋体" w:eastAsia="宋体" w:cs="宋体"/>
          <w:kern w:val="0"/>
          <w:sz w:val="24"/>
          <w:szCs w:val="24"/>
          <w:lang w:val="en-US" w:eastAsia="zh-CN"/>
        </w:rPr>
        <w:t>之</w:t>
      </w:r>
      <w:r>
        <w:rPr>
          <w:rFonts w:hint="eastAsia" w:ascii="宋体" w:hAnsi="宋体" w:eastAsia="宋体" w:cs="宋体"/>
          <w:kern w:val="0"/>
          <w:sz w:val="24"/>
          <w:szCs w:val="24"/>
        </w:rPr>
        <w:t>内给予免费更换，否则，采购人有权拒付该批货物的货款。</w:t>
      </w:r>
    </w:p>
    <w:p w14:paraId="3EF20BBC">
      <w:pPr>
        <w:keepNext w:val="0"/>
        <w:keepLines w:val="0"/>
        <w:pageBreakBefore w:val="0"/>
        <w:widowControl/>
        <w:kinsoku/>
        <w:wordWrap/>
        <w:overflowPunct/>
        <w:topLinePunct w:val="0"/>
        <w:bidi w:val="0"/>
        <w:spacing w:line="440" w:lineRule="exact"/>
        <w:ind w:firstLine="480" w:firstLineChars="200"/>
        <w:jc w:val="left"/>
        <w:outlineLvl w:val="9"/>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在质保期内，如出现成交供应商维保服务不到位而导致出现安全责任事故及财物损失的，由成交供应商承担一切损失与后果。</w:t>
      </w:r>
    </w:p>
    <w:p w14:paraId="13CEE2D5">
      <w:pPr>
        <w:keepNext w:val="0"/>
        <w:keepLines w:val="0"/>
        <w:pageBreakBefore w:val="0"/>
        <w:widowControl/>
        <w:kinsoku/>
        <w:wordWrap/>
        <w:overflowPunct/>
        <w:topLinePunct w:val="0"/>
        <w:bidi w:val="0"/>
        <w:spacing w:line="440" w:lineRule="exact"/>
        <w:ind w:firstLine="480" w:firstLineChars="200"/>
        <w:outlineLvl w:val="9"/>
        <w:rPr>
          <w:rFonts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供应商应为采购人的气体容器及供气设备的维修及检测提供免费运输服务，为采购人供气设备的维修保养提供免费技术支持。成交供应商需按时按采购人的要求提供医用气体，不能以任何理由延误或断供，否则成交供应商负全部责任。</w:t>
      </w:r>
    </w:p>
    <w:p w14:paraId="247AFB0D">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供应商承诺针对采购人整个氧气供应系统提供建设性指导方案。供气系统的操作规程及安全知识培训，相关应用技术支持。根据采购人需求，中标供应商应免费配合协助采购人提供有关人员技术培训和应急演练知识培训，以熟练掌握各种设备和软件等常规使用方法和故障的判断与解决，及相关的防火消防和液氧泄漏应急演练。必要时，为采购人提供用气指导有关服务。</w:t>
      </w:r>
    </w:p>
    <w:p w14:paraId="139BA21C">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7、当采购人发生紧急用气时，成交供应商需紧急响应，在3小时内将产品送到指定地点，特殊天气应急供氧优先满足采购人需要。同时保障采购人指定时间供应要求，如指定当天上午或其他某个时间。</w:t>
      </w:r>
    </w:p>
    <w:p w14:paraId="1CFA7223">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snapToGrid w:val="0"/>
          <w:kern w:val="0"/>
          <w:sz w:val="24"/>
          <w:szCs w:val="24"/>
          <w:lang w:eastAsia="zh-CN"/>
        </w:rPr>
      </w:pPr>
      <w:r>
        <w:rPr>
          <w:rFonts w:hint="eastAsia" w:ascii="宋体" w:hAnsi="宋体" w:eastAsia="宋体" w:cs="宋体"/>
          <w:kern w:val="0"/>
          <w:sz w:val="24"/>
          <w:szCs w:val="24"/>
          <w:lang w:val="en-US" w:eastAsia="zh-CN"/>
        </w:rPr>
        <w:t>8、</w:t>
      </w:r>
      <w:r>
        <w:rPr>
          <w:rFonts w:hint="eastAsia" w:ascii="宋体" w:hAnsi="宋体" w:eastAsia="宋体" w:cs="宋体"/>
          <w:snapToGrid w:val="0"/>
          <w:kern w:val="0"/>
          <w:sz w:val="24"/>
          <w:szCs w:val="24"/>
        </w:rPr>
        <w:t>成交供应商应有健全的安全</w:t>
      </w:r>
      <w:r>
        <w:rPr>
          <w:rFonts w:hint="eastAsia" w:ascii="宋体" w:hAnsi="宋体" w:eastAsia="宋体" w:cs="宋体"/>
          <w:snapToGrid w:val="0"/>
          <w:kern w:val="0"/>
          <w:sz w:val="24"/>
          <w:szCs w:val="24"/>
          <w:lang w:val="en-US" w:eastAsia="zh-CN"/>
        </w:rPr>
        <w:t>生产和</w:t>
      </w:r>
      <w:r>
        <w:rPr>
          <w:rFonts w:hint="eastAsia" w:ascii="宋体" w:hAnsi="宋体" w:eastAsia="宋体" w:cs="宋体"/>
          <w:snapToGrid w:val="0"/>
          <w:kern w:val="0"/>
          <w:sz w:val="24"/>
          <w:szCs w:val="24"/>
        </w:rPr>
        <w:t>管理制度</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对从业人员进行经常性安全生产、职业道德、业务知识和操作规程的教育培训</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制定突发事件应急预案，配备应急救援人员和必要的应急救援器材、设备，并定期组织应急救援演练</w:t>
      </w:r>
      <w:r>
        <w:rPr>
          <w:rFonts w:hint="eastAsia" w:ascii="宋体" w:hAnsi="宋体" w:eastAsia="宋体" w:cs="宋体"/>
          <w:snapToGrid w:val="0"/>
          <w:kern w:val="0"/>
          <w:sz w:val="24"/>
          <w:szCs w:val="24"/>
          <w:lang w:eastAsia="zh-CN"/>
        </w:rPr>
        <w:t>。</w:t>
      </w:r>
    </w:p>
    <w:p w14:paraId="728E18B6">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9、成交供应商在服务期间，应落实安全生产监督主体责任，</w:t>
      </w:r>
      <w:r>
        <w:rPr>
          <w:rFonts w:hint="eastAsia" w:ascii="宋体" w:hAnsi="宋体" w:eastAsia="宋体" w:cs="宋体"/>
          <w:snapToGrid w:val="0"/>
          <w:kern w:val="0"/>
          <w:sz w:val="24"/>
          <w:szCs w:val="24"/>
        </w:rPr>
        <w:t>不得影响采购人工作和安全</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若成交供应商未能履行安全职责原因造成采购人安全事故或人员伤亡的，成交供应商自行承担由此带来的一切经济赔偿与法律责任。</w:t>
      </w:r>
    </w:p>
    <w:p w14:paraId="70496874">
      <w:pPr>
        <w:keepNext w:val="0"/>
        <w:keepLines w:val="0"/>
        <w:pageBreakBefore w:val="0"/>
        <w:widowControl/>
        <w:kinsoku/>
        <w:wordWrap/>
        <w:overflowPunct/>
        <w:topLinePunct w:val="0"/>
        <w:bidi w:val="0"/>
        <w:spacing w:line="440" w:lineRule="exact"/>
        <w:ind w:firstLine="482" w:firstLineChars="200"/>
        <w:outlineLvl w:val="9"/>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九、其他服务要求</w:t>
      </w:r>
    </w:p>
    <w:p w14:paraId="2BDE0204">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snapToGrid w:val="0"/>
          <w:kern w:val="0"/>
          <w:sz w:val="24"/>
          <w:szCs w:val="24"/>
          <w:lang w:val="en-US" w:eastAsia="zh-CN"/>
        </w:rPr>
      </w:pPr>
      <w:r>
        <w:rPr>
          <w:rFonts w:hint="eastAsia" w:ascii="宋体" w:hAnsi="宋体" w:eastAsia="宋体" w:cs="宋体"/>
          <w:b w:val="0"/>
          <w:bCs/>
          <w:kern w:val="0"/>
          <w:sz w:val="24"/>
          <w:szCs w:val="24"/>
          <w:lang w:val="en-US" w:eastAsia="zh-CN"/>
        </w:rPr>
        <w:t>1、</w:t>
      </w:r>
      <w:r>
        <w:rPr>
          <w:rFonts w:hint="eastAsia" w:ascii="宋体" w:hAnsi="宋体" w:eastAsia="宋体" w:cs="宋体"/>
          <w:snapToGrid w:val="0"/>
          <w:kern w:val="0"/>
          <w:sz w:val="24"/>
          <w:szCs w:val="24"/>
        </w:rPr>
        <w:t>成交供应商需在供货期间至少提供</w:t>
      </w:r>
      <w:r>
        <w:rPr>
          <w:rFonts w:hint="eastAsia" w:ascii="宋体" w:hAnsi="宋体" w:eastAsia="宋体" w:cs="宋体"/>
          <w:snapToGrid w:val="0"/>
          <w:kern w:val="0"/>
          <w:sz w:val="24"/>
          <w:szCs w:val="24"/>
          <w:lang w:val="en-US" w:eastAsia="zh-CN"/>
        </w:rPr>
        <w:t>56个40L医用氧钢瓶供采购人在应急用气点长期备用，采购人不再向成交供应商支付本项目所有气瓶押金等有关费用。</w:t>
      </w:r>
    </w:p>
    <w:p w14:paraId="3ECE8EA7">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成交供应商在供货期内负责包括项目方案、货物供货、软件提供、运输、保管、安装、调试、验收、培训及相关服务等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并提供常用零配件更换（钢瓶常用零配件：瓶阀、手轮、阀杆、阀芯、瓶阀六角，杜瓦罐常用零配件：调节阀、安全阀、截止阀、压力表、液位计、真空防爆片、连接压力软管等配件更换），</w:t>
      </w:r>
      <w:r>
        <w:rPr>
          <w:rFonts w:hint="eastAsia" w:ascii="宋体" w:hAnsi="宋体" w:eastAsia="宋体" w:cs="宋体"/>
          <w:kern w:val="0"/>
          <w:sz w:val="24"/>
          <w:szCs w:val="24"/>
          <w:lang w:val="en-US" w:eastAsia="zh-CN"/>
        </w:rPr>
        <w:t>此费用包含在报价费用中</w:t>
      </w:r>
      <w:r>
        <w:rPr>
          <w:rFonts w:hint="eastAsia" w:ascii="宋体" w:hAnsi="宋体" w:eastAsia="宋体" w:cs="宋体"/>
          <w:kern w:val="0"/>
          <w:sz w:val="24"/>
          <w:szCs w:val="24"/>
        </w:rPr>
        <w:t>。</w:t>
      </w:r>
    </w:p>
    <w:p w14:paraId="06C1B2BA">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3、当采购人使用科室因临床需要指定使用某一种气体时，</w:t>
      </w:r>
      <w:r>
        <w:rPr>
          <w:rFonts w:hint="eastAsia" w:ascii="宋体" w:hAnsi="宋体" w:eastAsia="宋体" w:cs="宋体"/>
          <w:kern w:val="0"/>
          <w:sz w:val="24"/>
          <w:szCs w:val="24"/>
        </w:rPr>
        <w:t>成交</w:t>
      </w:r>
      <w:r>
        <w:rPr>
          <w:rFonts w:hint="eastAsia" w:ascii="宋体" w:hAnsi="宋体" w:eastAsia="宋体" w:cs="宋体"/>
          <w:kern w:val="0"/>
          <w:sz w:val="24"/>
          <w:szCs w:val="24"/>
          <w:lang w:val="en-US" w:eastAsia="zh-CN"/>
        </w:rPr>
        <w:t>供应商有责任协助采购人联系购买、运送该品牌的气体，以保证采购人临床科室需要。</w:t>
      </w:r>
    </w:p>
    <w:p w14:paraId="1E5CBB9E">
      <w:pPr>
        <w:keepNext w:val="0"/>
        <w:keepLines w:val="0"/>
        <w:pageBreakBefore w:val="0"/>
        <w:tabs>
          <w:tab w:val="left" w:pos="720"/>
        </w:tabs>
        <w:kinsoku/>
        <w:wordWrap/>
        <w:overflowPunct/>
        <w:topLinePunct w:val="0"/>
        <w:autoSpaceDE w:val="0"/>
        <w:autoSpaceDN w:val="0"/>
        <w:bidi w:val="0"/>
        <w:adjustRightInd w:val="0"/>
        <w:snapToGrid w:val="0"/>
        <w:spacing w:line="440" w:lineRule="exact"/>
        <w:ind w:firstLine="480" w:firstLineChars="200"/>
        <w:textAlignment w:val="baseline"/>
        <w:outlineLvl w:val="9"/>
        <w:rPr>
          <w:rFonts w:hint="default" w:ascii="宋体" w:hAnsi="宋体" w:eastAsia="宋体" w:cs="宋体"/>
          <w:snapToGrid w:val="0"/>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snapToGrid w:val="0"/>
          <w:kern w:val="0"/>
          <w:sz w:val="24"/>
          <w:szCs w:val="24"/>
        </w:rPr>
        <w:t>成交供应商应为本项目投入专业的生产人员、充装人员及运输人员等主要服务人员，具备相应经验、实力及有良好的服务态度及沟通能力；并应指派一名具有丰富同类项目服务及管理经验的人员为项目负责人，负责本项目的全过程跟踪管理及联系沟通等工作。</w:t>
      </w:r>
      <w:r>
        <w:rPr>
          <w:rFonts w:hint="eastAsia" w:ascii="宋体" w:hAnsi="宋体" w:eastAsia="宋体" w:cs="宋体"/>
          <w:snapToGrid w:val="0"/>
          <w:kern w:val="0"/>
          <w:sz w:val="24"/>
          <w:szCs w:val="24"/>
          <w:lang w:val="en-US" w:eastAsia="zh-CN"/>
        </w:rPr>
        <w:t>因采购人监管要求，成交供应商所委派的运输人员及现场负责人应相对固定，不得随意更换，同时成交供应商在服务开始前提供服务人员清单和有关证件信息到采购人处备案，配合采购人办理有关监管手续，无条件遵守采购人相关管理规定和纪律保密要求。</w:t>
      </w:r>
    </w:p>
    <w:p w14:paraId="23568A45">
      <w:pPr>
        <w:keepNext w:val="0"/>
        <w:keepLines w:val="0"/>
        <w:pageBreakBefore w:val="0"/>
        <w:widowControl/>
        <w:tabs>
          <w:tab w:val="left" w:pos="3210"/>
        </w:tabs>
        <w:kinsoku/>
        <w:wordWrap/>
        <w:overflowPunct/>
        <w:topLinePunct w:val="0"/>
        <w:bidi w:val="0"/>
        <w:spacing w:line="440" w:lineRule="exact"/>
        <w:ind w:firstLine="482" w:firstLineChars="200"/>
        <w:jc w:val="left"/>
        <w:outlineLvl w:val="9"/>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十、结算</w:t>
      </w:r>
      <w:r>
        <w:rPr>
          <w:rFonts w:hint="eastAsia" w:ascii="宋体" w:hAnsi="宋体" w:eastAsia="宋体" w:cs="宋体"/>
          <w:b/>
          <w:bCs/>
          <w:kern w:val="0"/>
          <w:sz w:val="24"/>
          <w:szCs w:val="24"/>
        </w:rPr>
        <w:t>方式</w:t>
      </w:r>
    </w:p>
    <w:p w14:paraId="4407900D">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（1）本项目每月据实结算</w:t>
      </w:r>
      <w:r>
        <w:rPr>
          <w:rFonts w:hint="eastAsia" w:ascii="宋体" w:hAnsi="宋体" w:eastAsia="宋体" w:cs="宋体"/>
          <w:bCs/>
          <w:kern w:val="0"/>
          <w:sz w:val="24"/>
          <w:szCs w:val="24"/>
        </w:rPr>
        <w:t>。每种气体的结算价格＝气体的单价最高限价×中标折扣率×经采购人确认的实际供货量。</w:t>
      </w:r>
    </w:p>
    <w:p w14:paraId="42CBB62E">
      <w:pPr>
        <w:keepNext w:val="0"/>
        <w:keepLines w:val="0"/>
        <w:pageBreakBefore w:val="0"/>
        <w:widowControl/>
        <w:kinsoku/>
        <w:wordWrap/>
        <w:overflowPunct/>
        <w:topLinePunct w:val="0"/>
        <w:bidi w:val="0"/>
        <w:spacing w:line="440" w:lineRule="exact"/>
        <w:ind w:firstLine="480" w:firstLineChars="200"/>
        <w:outlineLvl w:val="9"/>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w:t>
      </w:r>
      <w:r>
        <w:rPr>
          <w:rFonts w:hint="eastAsia" w:ascii="宋体" w:hAnsi="宋体" w:eastAsia="宋体" w:cs="宋体"/>
          <w:snapToGrid w:val="0"/>
          <w:kern w:val="0"/>
          <w:sz w:val="24"/>
          <w:szCs w:val="24"/>
          <w:lang w:val="en-US" w:eastAsia="zh-CN"/>
        </w:rPr>
        <w:t>成交供应商</w:t>
      </w:r>
      <w:r>
        <w:rPr>
          <w:rFonts w:hint="eastAsia" w:ascii="宋体" w:hAnsi="宋体" w:eastAsia="宋体" w:cs="宋体"/>
          <w:bCs/>
          <w:kern w:val="0"/>
          <w:sz w:val="24"/>
          <w:szCs w:val="24"/>
        </w:rPr>
        <w:t>须凭以下有效文件与采购人结算：①经采购人确认的付款当期的费用明细清单及相关证明；②</w:t>
      </w:r>
      <w:r>
        <w:rPr>
          <w:rFonts w:hint="eastAsia" w:ascii="宋体" w:hAnsi="宋体" w:eastAsia="宋体" w:cs="宋体"/>
          <w:snapToGrid w:val="0"/>
          <w:kern w:val="0"/>
          <w:sz w:val="24"/>
          <w:szCs w:val="24"/>
          <w:lang w:val="en-US" w:eastAsia="zh-CN"/>
        </w:rPr>
        <w:t>成交供应商</w:t>
      </w:r>
      <w:r>
        <w:rPr>
          <w:rFonts w:hint="eastAsia" w:ascii="宋体" w:hAnsi="宋体" w:eastAsia="宋体" w:cs="宋体"/>
          <w:bCs/>
          <w:kern w:val="0"/>
          <w:sz w:val="24"/>
          <w:szCs w:val="24"/>
        </w:rPr>
        <w:t>开具的等额正式发票；③采购人认为需要提交的其他资料。中标供应商</w:t>
      </w:r>
      <w:r>
        <w:rPr>
          <w:rFonts w:hint="eastAsia" w:ascii="宋体" w:hAnsi="宋体" w:eastAsia="宋体" w:cs="宋体"/>
          <w:bCs/>
          <w:kern w:val="0"/>
          <w:sz w:val="24"/>
          <w:szCs w:val="24"/>
          <w:lang w:val="en-US" w:eastAsia="zh-CN"/>
        </w:rPr>
        <w:t>在每月10日前提供上一个月经确认后的等额正式发票等结算资料交由采购人，采购人在收到</w:t>
      </w:r>
      <w:r>
        <w:rPr>
          <w:rFonts w:hint="eastAsia" w:ascii="宋体" w:hAnsi="宋体" w:eastAsia="宋体" w:cs="宋体"/>
          <w:bCs/>
          <w:kern w:val="0"/>
          <w:sz w:val="24"/>
          <w:szCs w:val="24"/>
        </w:rPr>
        <w:t>中标供应商</w:t>
      </w:r>
      <w:r>
        <w:rPr>
          <w:rFonts w:hint="eastAsia" w:ascii="宋体" w:hAnsi="宋体" w:eastAsia="宋体" w:cs="宋体"/>
          <w:bCs/>
          <w:kern w:val="0"/>
          <w:sz w:val="24"/>
          <w:szCs w:val="24"/>
          <w:lang w:val="en-US" w:eastAsia="zh-CN"/>
        </w:rPr>
        <w:t>完整结算资料后15个工作日内按规定办理财政支付手续。</w:t>
      </w:r>
    </w:p>
    <w:p w14:paraId="75349887">
      <w:pPr>
        <w:keepNext w:val="0"/>
        <w:keepLines w:val="0"/>
        <w:pageBreakBefore w:val="0"/>
        <w:widowControl/>
        <w:kinsoku/>
        <w:wordWrap/>
        <w:overflowPunct/>
        <w:topLinePunct w:val="0"/>
        <w:bidi w:val="0"/>
        <w:spacing w:line="440" w:lineRule="exact"/>
        <w:ind w:firstLine="480" w:firstLineChars="200"/>
        <w:outlineLvl w:val="9"/>
        <w:rPr>
          <w:rFonts w:hint="default" w:ascii="宋体" w:hAnsi="宋体" w:eastAsia="宋体" w:cs="宋体"/>
          <w:kern w:val="0"/>
          <w:sz w:val="24"/>
          <w:szCs w:val="24"/>
          <w:lang w:val="en-US" w:eastAsia="zh-CN"/>
        </w:rPr>
      </w:pPr>
    </w:p>
    <w:p w14:paraId="0FA3884B">
      <w:pPr>
        <w:keepNext w:val="0"/>
        <w:keepLines w:val="0"/>
        <w:pageBreakBefore w:val="0"/>
        <w:widowControl/>
        <w:kinsoku/>
        <w:wordWrap/>
        <w:overflowPunct/>
        <w:topLinePunct w:val="0"/>
        <w:bidi w:val="0"/>
        <w:spacing w:line="440" w:lineRule="exact"/>
        <w:ind w:firstLine="480" w:firstLineChars="200"/>
        <w:outlineLvl w:val="9"/>
        <w:rPr>
          <w:rFonts w:hint="default" w:ascii="宋体" w:hAnsi="宋体" w:eastAsia="宋体" w:cs="宋体"/>
          <w:kern w:val="0"/>
          <w:sz w:val="24"/>
          <w:szCs w:val="24"/>
          <w:lang w:val="en-US" w:eastAsia="zh-CN"/>
        </w:rPr>
      </w:pPr>
    </w:p>
    <w:p w14:paraId="2C98D9FA">
      <w:pPr>
        <w:keepNext w:val="0"/>
        <w:keepLines w:val="0"/>
        <w:pageBreakBefore w:val="0"/>
        <w:widowControl/>
        <w:kinsoku/>
        <w:wordWrap/>
        <w:overflowPunct/>
        <w:topLinePunct w:val="0"/>
        <w:bidi w:val="0"/>
        <w:spacing w:line="440" w:lineRule="exact"/>
        <w:ind w:firstLine="480" w:firstLineChars="200"/>
        <w:jc w:val="right"/>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广东省监狱中心医院</w:t>
      </w:r>
    </w:p>
    <w:p w14:paraId="5BCE28F4">
      <w:pPr>
        <w:keepNext w:val="0"/>
        <w:keepLines w:val="0"/>
        <w:pageBreakBefore w:val="0"/>
        <w:widowControl/>
        <w:kinsoku/>
        <w:wordWrap/>
        <w:overflowPunct/>
        <w:topLinePunct w:val="0"/>
        <w:bidi w:val="0"/>
        <w:spacing w:line="440" w:lineRule="exact"/>
        <w:ind w:firstLine="480" w:firstLineChars="200"/>
        <w:jc w:val="right"/>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2024年12月11日</w:t>
      </w:r>
    </w:p>
    <w:p w14:paraId="4CADBA58">
      <w:pPr>
        <w:keepNext w:val="0"/>
        <w:keepLines w:val="0"/>
        <w:pageBreakBefore w:val="0"/>
        <w:widowControl/>
        <w:kinsoku/>
        <w:wordWrap/>
        <w:overflowPunct/>
        <w:topLinePunct w:val="0"/>
        <w:bidi w:val="0"/>
        <w:spacing w:line="440" w:lineRule="exact"/>
        <w:ind w:firstLine="480" w:firstLineChars="200"/>
        <w:outlineLvl w:val="9"/>
        <w:rPr>
          <w:rFonts w:hint="default" w:ascii="宋体" w:hAnsi="宋体" w:eastAsia="宋体" w:cs="宋体"/>
          <w:snapToGrid w:val="0"/>
          <w:kern w:val="0"/>
          <w:sz w:val="24"/>
          <w:szCs w:val="24"/>
          <w:lang w:val="en-US" w:eastAsia="zh-CN"/>
        </w:rPr>
      </w:pPr>
    </w:p>
    <w:p w14:paraId="260C8078"/>
    <w:sectPr>
      <w:headerReference r:id="rId3" w:type="default"/>
      <w:footerReference r:id="rId4" w:type="default"/>
      <w:pgSz w:w="11906" w:h="16838"/>
      <w:pgMar w:top="1440" w:right="1800" w:bottom="1134"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31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DA2FF">
                          <w:pPr>
                            <w:pStyle w:val="1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B0DA2FF">
                    <w:pPr>
                      <w:pStyle w:val="1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FB4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08E31"/>
    <w:multiLevelType w:val="singleLevel"/>
    <w:tmpl w:val="E4108E31"/>
    <w:lvl w:ilvl="0" w:tentative="0">
      <w:start w:val="1"/>
      <w:numFmt w:val="decimal"/>
      <w:suff w:val="nothing"/>
      <w:lvlText w:val="%1、"/>
      <w:lvlJc w:val="left"/>
    </w:lvl>
  </w:abstractNum>
  <w:abstractNum w:abstractNumId="1">
    <w:nsid w:val="EFAF222A"/>
    <w:multiLevelType w:val="singleLevel"/>
    <w:tmpl w:val="EFAF222A"/>
    <w:lvl w:ilvl="0" w:tentative="0">
      <w:start w:val="2"/>
      <w:numFmt w:val="chineseCounting"/>
      <w:suff w:val="nothing"/>
      <w:lvlText w:val="%1、"/>
      <w:lvlJc w:val="left"/>
      <w:rPr>
        <w:rFonts w:hint="eastAsia"/>
      </w:r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7EA12D70"/>
    <w:multiLevelType w:val="multilevel"/>
    <w:tmpl w:val="7EA12D70"/>
    <w:lvl w:ilvl="0" w:tentative="0">
      <w:start w:val="9"/>
      <w:numFmt w:val="japaneseCounting"/>
      <w:pStyle w:val="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mViNWE4M2YzMDgxMGJjNDhmN2ZhZWI4ZGRkMjMifQ=="/>
  </w:docVars>
  <w:rsids>
    <w:rsidRoot w:val="00603670"/>
    <w:rsid w:val="0000298A"/>
    <w:rsid w:val="00003F70"/>
    <w:rsid w:val="00004E80"/>
    <w:rsid w:val="00011A82"/>
    <w:rsid w:val="000163AB"/>
    <w:rsid w:val="000177F1"/>
    <w:rsid w:val="00027036"/>
    <w:rsid w:val="000321B0"/>
    <w:rsid w:val="0003552B"/>
    <w:rsid w:val="00042B6B"/>
    <w:rsid w:val="000431C9"/>
    <w:rsid w:val="00045E6F"/>
    <w:rsid w:val="00050534"/>
    <w:rsid w:val="00053978"/>
    <w:rsid w:val="000565F1"/>
    <w:rsid w:val="00060931"/>
    <w:rsid w:val="0006472A"/>
    <w:rsid w:val="000714FA"/>
    <w:rsid w:val="00072D57"/>
    <w:rsid w:val="000749D9"/>
    <w:rsid w:val="00075391"/>
    <w:rsid w:val="00082CDE"/>
    <w:rsid w:val="00083BE6"/>
    <w:rsid w:val="00086BDC"/>
    <w:rsid w:val="000A604B"/>
    <w:rsid w:val="000A63DE"/>
    <w:rsid w:val="000B040C"/>
    <w:rsid w:val="000B3F59"/>
    <w:rsid w:val="000C1D71"/>
    <w:rsid w:val="000C5ABD"/>
    <w:rsid w:val="000D0862"/>
    <w:rsid w:val="000E1199"/>
    <w:rsid w:val="000E4C42"/>
    <w:rsid w:val="000F1249"/>
    <w:rsid w:val="000F423D"/>
    <w:rsid w:val="001016B0"/>
    <w:rsid w:val="00101E5A"/>
    <w:rsid w:val="00107E2D"/>
    <w:rsid w:val="0011556A"/>
    <w:rsid w:val="00116EDF"/>
    <w:rsid w:val="00123BEA"/>
    <w:rsid w:val="00126499"/>
    <w:rsid w:val="0012669D"/>
    <w:rsid w:val="001304CF"/>
    <w:rsid w:val="00140AD2"/>
    <w:rsid w:val="00143E8A"/>
    <w:rsid w:val="00145AE8"/>
    <w:rsid w:val="00150B93"/>
    <w:rsid w:val="001523E0"/>
    <w:rsid w:val="0016171E"/>
    <w:rsid w:val="00167632"/>
    <w:rsid w:val="00171BF0"/>
    <w:rsid w:val="0017220B"/>
    <w:rsid w:val="00175ECB"/>
    <w:rsid w:val="00176D1C"/>
    <w:rsid w:val="001775AE"/>
    <w:rsid w:val="00180D5D"/>
    <w:rsid w:val="00180E8E"/>
    <w:rsid w:val="00182BE9"/>
    <w:rsid w:val="001851E6"/>
    <w:rsid w:val="001863E0"/>
    <w:rsid w:val="00193263"/>
    <w:rsid w:val="00195509"/>
    <w:rsid w:val="001A0DDF"/>
    <w:rsid w:val="001A4C3B"/>
    <w:rsid w:val="001A769F"/>
    <w:rsid w:val="001B0A70"/>
    <w:rsid w:val="001B1ACE"/>
    <w:rsid w:val="001B36D4"/>
    <w:rsid w:val="001B74DB"/>
    <w:rsid w:val="001C071E"/>
    <w:rsid w:val="001C3D61"/>
    <w:rsid w:val="001C43C7"/>
    <w:rsid w:val="001C6BE3"/>
    <w:rsid w:val="001D1026"/>
    <w:rsid w:val="001D33E6"/>
    <w:rsid w:val="001D3D63"/>
    <w:rsid w:val="001D3E3B"/>
    <w:rsid w:val="001E48AC"/>
    <w:rsid w:val="001E5C33"/>
    <w:rsid w:val="001F39C4"/>
    <w:rsid w:val="001F3F8C"/>
    <w:rsid w:val="001F624B"/>
    <w:rsid w:val="00202355"/>
    <w:rsid w:val="002056C6"/>
    <w:rsid w:val="00234159"/>
    <w:rsid w:val="002379C7"/>
    <w:rsid w:val="0024390D"/>
    <w:rsid w:val="00251790"/>
    <w:rsid w:val="00252A13"/>
    <w:rsid w:val="00253352"/>
    <w:rsid w:val="00262DAA"/>
    <w:rsid w:val="0026399A"/>
    <w:rsid w:val="002674A4"/>
    <w:rsid w:val="002674FC"/>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613A"/>
    <w:rsid w:val="002E61D3"/>
    <w:rsid w:val="002E66A9"/>
    <w:rsid w:val="002F352E"/>
    <w:rsid w:val="002F4A33"/>
    <w:rsid w:val="002F5E67"/>
    <w:rsid w:val="0031356B"/>
    <w:rsid w:val="0031506F"/>
    <w:rsid w:val="00327C22"/>
    <w:rsid w:val="00332AF3"/>
    <w:rsid w:val="00332B4D"/>
    <w:rsid w:val="00336F07"/>
    <w:rsid w:val="003371A9"/>
    <w:rsid w:val="00337C6E"/>
    <w:rsid w:val="00342E19"/>
    <w:rsid w:val="00346FCA"/>
    <w:rsid w:val="00351684"/>
    <w:rsid w:val="00355F34"/>
    <w:rsid w:val="003568E7"/>
    <w:rsid w:val="00361074"/>
    <w:rsid w:val="0036223F"/>
    <w:rsid w:val="00366797"/>
    <w:rsid w:val="003677EC"/>
    <w:rsid w:val="00374207"/>
    <w:rsid w:val="00374455"/>
    <w:rsid w:val="003818F2"/>
    <w:rsid w:val="00383905"/>
    <w:rsid w:val="00384761"/>
    <w:rsid w:val="003862AA"/>
    <w:rsid w:val="00390BE1"/>
    <w:rsid w:val="00392847"/>
    <w:rsid w:val="00393D24"/>
    <w:rsid w:val="00394537"/>
    <w:rsid w:val="00394F45"/>
    <w:rsid w:val="00395A64"/>
    <w:rsid w:val="00395C9C"/>
    <w:rsid w:val="00396818"/>
    <w:rsid w:val="003B03B4"/>
    <w:rsid w:val="003B0A20"/>
    <w:rsid w:val="003B48C0"/>
    <w:rsid w:val="003B596D"/>
    <w:rsid w:val="003B5D20"/>
    <w:rsid w:val="003C419C"/>
    <w:rsid w:val="003D1089"/>
    <w:rsid w:val="003D2DE8"/>
    <w:rsid w:val="003D3C42"/>
    <w:rsid w:val="003D4159"/>
    <w:rsid w:val="003D4B30"/>
    <w:rsid w:val="003E273C"/>
    <w:rsid w:val="003E72D6"/>
    <w:rsid w:val="003F38D5"/>
    <w:rsid w:val="003F5505"/>
    <w:rsid w:val="00403AB2"/>
    <w:rsid w:val="00406293"/>
    <w:rsid w:val="00410848"/>
    <w:rsid w:val="0041217E"/>
    <w:rsid w:val="00412749"/>
    <w:rsid w:val="00412962"/>
    <w:rsid w:val="004211A3"/>
    <w:rsid w:val="00423FC8"/>
    <w:rsid w:val="00425F66"/>
    <w:rsid w:val="00431DBE"/>
    <w:rsid w:val="00433B9F"/>
    <w:rsid w:val="00441F47"/>
    <w:rsid w:val="004446B3"/>
    <w:rsid w:val="004515F4"/>
    <w:rsid w:val="00452196"/>
    <w:rsid w:val="00456ED5"/>
    <w:rsid w:val="0045760A"/>
    <w:rsid w:val="004610D7"/>
    <w:rsid w:val="004613B9"/>
    <w:rsid w:val="00463A03"/>
    <w:rsid w:val="00465926"/>
    <w:rsid w:val="0047081D"/>
    <w:rsid w:val="0047125E"/>
    <w:rsid w:val="004738CC"/>
    <w:rsid w:val="004765F8"/>
    <w:rsid w:val="00476745"/>
    <w:rsid w:val="00476899"/>
    <w:rsid w:val="00482385"/>
    <w:rsid w:val="00491492"/>
    <w:rsid w:val="00492B35"/>
    <w:rsid w:val="00493127"/>
    <w:rsid w:val="00493336"/>
    <w:rsid w:val="00494623"/>
    <w:rsid w:val="00496883"/>
    <w:rsid w:val="004A049B"/>
    <w:rsid w:val="004A36A8"/>
    <w:rsid w:val="004A49B7"/>
    <w:rsid w:val="004A7F4E"/>
    <w:rsid w:val="004B23D7"/>
    <w:rsid w:val="004B4136"/>
    <w:rsid w:val="004B57DA"/>
    <w:rsid w:val="004B7182"/>
    <w:rsid w:val="004C3241"/>
    <w:rsid w:val="004C6085"/>
    <w:rsid w:val="004D13A8"/>
    <w:rsid w:val="004D2165"/>
    <w:rsid w:val="004D2A3E"/>
    <w:rsid w:val="004D491B"/>
    <w:rsid w:val="004D6D34"/>
    <w:rsid w:val="004E3790"/>
    <w:rsid w:val="004E3B0A"/>
    <w:rsid w:val="004F115D"/>
    <w:rsid w:val="004F1479"/>
    <w:rsid w:val="004F1D43"/>
    <w:rsid w:val="00501334"/>
    <w:rsid w:val="00501F2E"/>
    <w:rsid w:val="00502D13"/>
    <w:rsid w:val="00510B18"/>
    <w:rsid w:val="00521996"/>
    <w:rsid w:val="00522280"/>
    <w:rsid w:val="00525D25"/>
    <w:rsid w:val="005316BD"/>
    <w:rsid w:val="00533B92"/>
    <w:rsid w:val="00534F6E"/>
    <w:rsid w:val="00535111"/>
    <w:rsid w:val="00535EEC"/>
    <w:rsid w:val="005456E9"/>
    <w:rsid w:val="005462F7"/>
    <w:rsid w:val="00550FBE"/>
    <w:rsid w:val="005521A5"/>
    <w:rsid w:val="00555B34"/>
    <w:rsid w:val="00557B1F"/>
    <w:rsid w:val="00565168"/>
    <w:rsid w:val="005656FE"/>
    <w:rsid w:val="00566DD0"/>
    <w:rsid w:val="005678E8"/>
    <w:rsid w:val="00585A83"/>
    <w:rsid w:val="00591BC0"/>
    <w:rsid w:val="00593C7A"/>
    <w:rsid w:val="005A1087"/>
    <w:rsid w:val="005B0041"/>
    <w:rsid w:val="005B1D70"/>
    <w:rsid w:val="005B3711"/>
    <w:rsid w:val="005C064C"/>
    <w:rsid w:val="005C3A40"/>
    <w:rsid w:val="005D0E0A"/>
    <w:rsid w:val="005D72B7"/>
    <w:rsid w:val="005D796C"/>
    <w:rsid w:val="005E4015"/>
    <w:rsid w:val="005E748F"/>
    <w:rsid w:val="005F00ED"/>
    <w:rsid w:val="005F0781"/>
    <w:rsid w:val="005F1433"/>
    <w:rsid w:val="005F4F7A"/>
    <w:rsid w:val="005F6D53"/>
    <w:rsid w:val="005F6E86"/>
    <w:rsid w:val="005F75C9"/>
    <w:rsid w:val="00602C8B"/>
    <w:rsid w:val="00603670"/>
    <w:rsid w:val="006037D5"/>
    <w:rsid w:val="00606D9A"/>
    <w:rsid w:val="006151A1"/>
    <w:rsid w:val="00616532"/>
    <w:rsid w:val="00616AE3"/>
    <w:rsid w:val="00620F2C"/>
    <w:rsid w:val="00627F1C"/>
    <w:rsid w:val="0064715C"/>
    <w:rsid w:val="00651B18"/>
    <w:rsid w:val="0066018A"/>
    <w:rsid w:val="006607D3"/>
    <w:rsid w:val="006626F1"/>
    <w:rsid w:val="00673379"/>
    <w:rsid w:val="006779F7"/>
    <w:rsid w:val="00680244"/>
    <w:rsid w:val="006817FD"/>
    <w:rsid w:val="006923B3"/>
    <w:rsid w:val="006A335A"/>
    <w:rsid w:val="006A61C8"/>
    <w:rsid w:val="006B07B5"/>
    <w:rsid w:val="006B1BFB"/>
    <w:rsid w:val="006B764E"/>
    <w:rsid w:val="006B79BF"/>
    <w:rsid w:val="006D034B"/>
    <w:rsid w:val="006D213E"/>
    <w:rsid w:val="006D5FC6"/>
    <w:rsid w:val="006D7E04"/>
    <w:rsid w:val="006E4108"/>
    <w:rsid w:val="006F01F4"/>
    <w:rsid w:val="00700C51"/>
    <w:rsid w:val="00700E5D"/>
    <w:rsid w:val="007037BD"/>
    <w:rsid w:val="00704006"/>
    <w:rsid w:val="00704031"/>
    <w:rsid w:val="007056A1"/>
    <w:rsid w:val="007059E9"/>
    <w:rsid w:val="007066C8"/>
    <w:rsid w:val="0071097B"/>
    <w:rsid w:val="007128C2"/>
    <w:rsid w:val="00713BF5"/>
    <w:rsid w:val="00715D44"/>
    <w:rsid w:val="00717FA5"/>
    <w:rsid w:val="007214B0"/>
    <w:rsid w:val="00721F2A"/>
    <w:rsid w:val="00724E13"/>
    <w:rsid w:val="00726EDF"/>
    <w:rsid w:val="007342B9"/>
    <w:rsid w:val="00735166"/>
    <w:rsid w:val="007351FD"/>
    <w:rsid w:val="00741354"/>
    <w:rsid w:val="007439DA"/>
    <w:rsid w:val="007440B0"/>
    <w:rsid w:val="007470DA"/>
    <w:rsid w:val="00761C9A"/>
    <w:rsid w:val="00762179"/>
    <w:rsid w:val="007636FA"/>
    <w:rsid w:val="0076427B"/>
    <w:rsid w:val="00766BD6"/>
    <w:rsid w:val="00772ED2"/>
    <w:rsid w:val="00777DAF"/>
    <w:rsid w:val="00781170"/>
    <w:rsid w:val="00781957"/>
    <w:rsid w:val="00783B9B"/>
    <w:rsid w:val="0079465B"/>
    <w:rsid w:val="007A292E"/>
    <w:rsid w:val="007A7BA9"/>
    <w:rsid w:val="007B645B"/>
    <w:rsid w:val="007C5792"/>
    <w:rsid w:val="007E26FA"/>
    <w:rsid w:val="007E3EDE"/>
    <w:rsid w:val="007E6D3D"/>
    <w:rsid w:val="007F26F4"/>
    <w:rsid w:val="007F4D13"/>
    <w:rsid w:val="007F6B25"/>
    <w:rsid w:val="0080065E"/>
    <w:rsid w:val="008016DC"/>
    <w:rsid w:val="008034FC"/>
    <w:rsid w:val="00803518"/>
    <w:rsid w:val="00811E08"/>
    <w:rsid w:val="00812470"/>
    <w:rsid w:val="008124C1"/>
    <w:rsid w:val="008132E6"/>
    <w:rsid w:val="00817EE2"/>
    <w:rsid w:val="0082229E"/>
    <w:rsid w:val="008242E1"/>
    <w:rsid w:val="00825FF0"/>
    <w:rsid w:val="00830582"/>
    <w:rsid w:val="00830919"/>
    <w:rsid w:val="00842DBC"/>
    <w:rsid w:val="00844F2D"/>
    <w:rsid w:val="00847407"/>
    <w:rsid w:val="008500B5"/>
    <w:rsid w:val="008537C7"/>
    <w:rsid w:val="008556E4"/>
    <w:rsid w:val="00855C77"/>
    <w:rsid w:val="00856F2F"/>
    <w:rsid w:val="00866B5F"/>
    <w:rsid w:val="00875023"/>
    <w:rsid w:val="00881257"/>
    <w:rsid w:val="00881CC7"/>
    <w:rsid w:val="00882269"/>
    <w:rsid w:val="00885DB6"/>
    <w:rsid w:val="00890CB6"/>
    <w:rsid w:val="0089400D"/>
    <w:rsid w:val="00895A0F"/>
    <w:rsid w:val="008A5110"/>
    <w:rsid w:val="008A7093"/>
    <w:rsid w:val="008A75A4"/>
    <w:rsid w:val="008B1C2A"/>
    <w:rsid w:val="008B1EA4"/>
    <w:rsid w:val="008B4D4E"/>
    <w:rsid w:val="008B5554"/>
    <w:rsid w:val="008B7532"/>
    <w:rsid w:val="008B7BAC"/>
    <w:rsid w:val="008B7C71"/>
    <w:rsid w:val="008C0FAF"/>
    <w:rsid w:val="008C2AB1"/>
    <w:rsid w:val="008C3917"/>
    <w:rsid w:val="008C4F21"/>
    <w:rsid w:val="008C7245"/>
    <w:rsid w:val="008D0A5A"/>
    <w:rsid w:val="008D46CA"/>
    <w:rsid w:val="008E3CD8"/>
    <w:rsid w:val="008E49E5"/>
    <w:rsid w:val="008E6EDC"/>
    <w:rsid w:val="008F3BD8"/>
    <w:rsid w:val="008F3E0F"/>
    <w:rsid w:val="008F3F79"/>
    <w:rsid w:val="008F480D"/>
    <w:rsid w:val="00904D13"/>
    <w:rsid w:val="0090764D"/>
    <w:rsid w:val="0091755D"/>
    <w:rsid w:val="00921636"/>
    <w:rsid w:val="009227C3"/>
    <w:rsid w:val="0092421F"/>
    <w:rsid w:val="00927E68"/>
    <w:rsid w:val="00932E40"/>
    <w:rsid w:val="00937F4D"/>
    <w:rsid w:val="009415C9"/>
    <w:rsid w:val="00943648"/>
    <w:rsid w:val="00944175"/>
    <w:rsid w:val="00945388"/>
    <w:rsid w:val="00945FC8"/>
    <w:rsid w:val="0094675A"/>
    <w:rsid w:val="009500CB"/>
    <w:rsid w:val="00950D89"/>
    <w:rsid w:val="00960687"/>
    <w:rsid w:val="00961D6B"/>
    <w:rsid w:val="00962C7E"/>
    <w:rsid w:val="00966193"/>
    <w:rsid w:val="009666D4"/>
    <w:rsid w:val="00966A53"/>
    <w:rsid w:val="00977403"/>
    <w:rsid w:val="00981FCF"/>
    <w:rsid w:val="00986438"/>
    <w:rsid w:val="009877F1"/>
    <w:rsid w:val="00990253"/>
    <w:rsid w:val="009908A5"/>
    <w:rsid w:val="00991F41"/>
    <w:rsid w:val="009A21C0"/>
    <w:rsid w:val="009A4BF3"/>
    <w:rsid w:val="009A7C11"/>
    <w:rsid w:val="009B4D41"/>
    <w:rsid w:val="009C2C10"/>
    <w:rsid w:val="009C2D78"/>
    <w:rsid w:val="009C6069"/>
    <w:rsid w:val="009D0859"/>
    <w:rsid w:val="009D178B"/>
    <w:rsid w:val="009D4FC9"/>
    <w:rsid w:val="009D58B4"/>
    <w:rsid w:val="009E1E16"/>
    <w:rsid w:val="009E217D"/>
    <w:rsid w:val="009E4C74"/>
    <w:rsid w:val="009E5075"/>
    <w:rsid w:val="009E5F7B"/>
    <w:rsid w:val="009F22AA"/>
    <w:rsid w:val="009F6DF1"/>
    <w:rsid w:val="00A02DAD"/>
    <w:rsid w:val="00A037F2"/>
    <w:rsid w:val="00A03A6D"/>
    <w:rsid w:val="00A042E3"/>
    <w:rsid w:val="00A0472A"/>
    <w:rsid w:val="00A129DF"/>
    <w:rsid w:val="00A13934"/>
    <w:rsid w:val="00A15139"/>
    <w:rsid w:val="00A16824"/>
    <w:rsid w:val="00A16C1A"/>
    <w:rsid w:val="00A202CE"/>
    <w:rsid w:val="00A258AD"/>
    <w:rsid w:val="00A30C64"/>
    <w:rsid w:val="00A3527A"/>
    <w:rsid w:val="00A35A63"/>
    <w:rsid w:val="00A35F93"/>
    <w:rsid w:val="00A37005"/>
    <w:rsid w:val="00A371FC"/>
    <w:rsid w:val="00A444BF"/>
    <w:rsid w:val="00A45A6D"/>
    <w:rsid w:val="00A75783"/>
    <w:rsid w:val="00A76000"/>
    <w:rsid w:val="00A82740"/>
    <w:rsid w:val="00A91B76"/>
    <w:rsid w:val="00AA2719"/>
    <w:rsid w:val="00AB6105"/>
    <w:rsid w:val="00AC241E"/>
    <w:rsid w:val="00AC2AF9"/>
    <w:rsid w:val="00AD08E8"/>
    <w:rsid w:val="00AD34F5"/>
    <w:rsid w:val="00AD3C05"/>
    <w:rsid w:val="00AD4569"/>
    <w:rsid w:val="00AD6219"/>
    <w:rsid w:val="00AD76F3"/>
    <w:rsid w:val="00AE0939"/>
    <w:rsid w:val="00AE270A"/>
    <w:rsid w:val="00AE2F48"/>
    <w:rsid w:val="00AE42EB"/>
    <w:rsid w:val="00AE55DD"/>
    <w:rsid w:val="00AF1D6C"/>
    <w:rsid w:val="00AF4372"/>
    <w:rsid w:val="00AF4AE6"/>
    <w:rsid w:val="00AF7487"/>
    <w:rsid w:val="00B0099A"/>
    <w:rsid w:val="00B05B47"/>
    <w:rsid w:val="00B06AE0"/>
    <w:rsid w:val="00B16927"/>
    <w:rsid w:val="00B4687C"/>
    <w:rsid w:val="00B5104A"/>
    <w:rsid w:val="00B51083"/>
    <w:rsid w:val="00B5406D"/>
    <w:rsid w:val="00B544FD"/>
    <w:rsid w:val="00B617FE"/>
    <w:rsid w:val="00B62017"/>
    <w:rsid w:val="00B620E6"/>
    <w:rsid w:val="00B628F2"/>
    <w:rsid w:val="00B71290"/>
    <w:rsid w:val="00B71CF2"/>
    <w:rsid w:val="00B74FAF"/>
    <w:rsid w:val="00B7600E"/>
    <w:rsid w:val="00B85FC9"/>
    <w:rsid w:val="00B9010C"/>
    <w:rsid w:val="00B9458F"/>
    <w:rsid w:val="00B9732A"/>
    <w:rsid w:val="00BA1245"/>
    <w:rsid w:val="00BA321A"/>
    <w:rsid w:val="00BA340F"/>
    <w:rsid w:val="00BA578C"/>
    <w:rsid w:val="00BB45E3"/>
    <w:rsid w:val="00BB566D"/>
    <w:rsid w:val="00BB5881"/>
    <w:rsid w:val="00BB67EB"/>
    <w:rsid w:val="00BC4505"/>
    <w:rsid w:val="00BC697C"/>
    <w:rsid w:val="00BD0275"/>
    <w:rsid w:val="00BD3301"/>
    <w:rsid w:val="00BD4CD9"/>
    <w:rsid w:val="00BE0F8C"/>
    <w:rsid w:val="00BF04FE"/>
    <w:rsid w:val="00BF553A"/>
    <w:rsid w:val="00BF568B"/>
    <w:rsid w:val="00BF6A77"/>
    <w:rsid w:val="00C00098"/>
    <w:rsid w:val="00C00DCC"/>
    <w:rsid w:val="00C01816"/>
    <w:rsid w:val="00C02598"/>
    <w:rsid w:val="00C04387"/>
    <w:rsid w:val="00C05EDB"/>
    <w:rsid w:val="00C2026A"/>
    <w:rsid w:val="00C21B82"/>
    <w:rsid w:val="00C31252"/>
    <w:rsid w:val="00C360DD"/>
    <w:rsid w:val="00C368FE"/>
    <w:rsid w:val="00C40805"/>
    <w:rsid w:val="00C476C2"/>
    <w:rsid w:val="00C541C5"/>
    <w:rsid w:val="00C56A1C"/>
    <w:rsid w:val="00C65789"/>
    <w:rsid w:val="00C706D4"/>
    <w:rsid w:val="00C71B4A"/>
    <w:rsid w:val="00C776A4"/>
    <w:rsid w:val="00C820A4"/>
    <w:rsid w:val="00C83E6E"/>
    <w:rsid w:val="00C90DA1"/>
    <w:rsid w:val="00C90F06"/>
    <w:rsid w:val="00CA090A"/>
    <w:rsid w:val="00CA0CCB"/>
    <w:rsid w:val="00CA0FD7"/>
    <w:rsid w:val="00CA3C37"/>
    <w:rsid w:val="00CB4E07"/>
    <w:rsid w:val="00CC17D4"/>
    <w:rsid w:val="00CC26A1"/>
    <w:rsid w:val="00CD11B1"/>
    <w:rsid w:val="00CD143C"/>
    <w:rsid w:val="00CD2C19"/>
    <w:rsid w:val="00CD4FD5"/>
    <w:rsid w:val="00CD57F2"/>
    <w:rsid w:val="00CE1761"/>
    <w:rsid w:val="00CE3A6C"/>
    <w:rsid w:val="00CE71FC"/>
    <w:rsid w:val="00CF1DA1"/>
    <w:rsid w:val="00CF1F80"/>
    <w:rsid w:val="00CF2666"/>
    <w:rsid w:val="00CF51F1"/>
    <w:rsid w:val="00CF59AA"/>
    <w:rsid w:val="00D002F2"/>
    <w:rsid w:val="00D015A2"/>
    <w:rsid w:val="00D10E67"/>
    <w:rsid w:val="00D2020D"/>
    <w:rsid w:val="00D221F4"/>
    <w:rsid w:val="00D229FF"/>
    <w:rsid w:val="00D24487"/>
    <w:rsid w:val="00D31586"/>
    <w:rsid w:val="00D32910"/>
    <w:rsid w:val="00D41DFB"/>
    <w:rsid w:val="00D4308A"/>
    <w:rsid w:val="00D44233"/>
    <w:rsid w:val="00D467C0"/>
    <w:rsid w:val="00D533FC"/>
    <w:rsid w:val="00D57211"/>
    <w:rsid w:val="00D57291"/>
    <w:rsid w:val="00D61271"/>
    <w:rsid w:val="00D62457"/>
    <w:rsid w:val="00D63179"/>
    <w:rsid w:val="00D638E3"/>
    <w:rsid w:val="00D6578D"/>
    <w:rsid w:val="00D7179D"/>
    <w:rsid w:val="00D71805"/>
    <w:rsid w:val="00D737E8"/>
    <w:rsid w:val="00D7498E"/>
    <w:rsid w:val="00D76179"/>
    <w:rsid w:val="00D76EC1"/>
    <w:rsid w:val="00D800FA"/>
    <w:rsid w:val="00D8277B"/>
    <w:rsid w:val="00D82EF0"/>
    <w:rsid w:val="00D90989"/>
    <w:rsid w:val="00D9501D"/>
    <w:rsid w:val="00D953AB"/>
    <w:rsid w:val="00D95877"/>
    <w:rsid w:val="00D95FC8"/>
    <w:rsid w:val="00D96CBE"/>
    <w:rsid w:val="00DA5447"/>
    <w:rsid w:val="00DA7A9B"/>
    <w:rsid w:val="00DC4675"/>
    <w:rsid w:val="00DC4C77"/>
    <w:rsid w:val="00DD1F0C"/>
    <w:rsid w:val="00DD2C2A"/>
    <w:rsid w:val="00DD3557"/>
    <w:rsid w:val="00DD4221"/>
    <w:rsid w:val="00DD4B76"/>
    <w:rsid w:val="00DE527D"/>
    <w:rsid w:val="00E01F9F"/>
    <w:rsid w:val="00E04054"/>
    <w:rsid w:val="00E0657B"/>
    <w:rsid w:val="00E0661E"/>
    <w:rsid w:val="00E06F98"/>
    <w:rsid w:val="00E07AB9"/>
    <w:rsid w:val="00E107F3"/>
    <w:rsid w:val="00E127FA"/>
    <w:rsid w:val="00E13A9E"/>
    <w:rsid w:val="00E14200"/>
    <w:rsid w:val="00E17703"/>
    <w:rsid w:val="00E255DD"/>
    <w:rsid w:val="00E26380"/>
    <w:rsid w:val="00E300EB"/>
    <w:rsid w:val="00E33E2A"/>
    <w:rsid w:val="00E3421A"/>
    <w:rsid w:val="00E34EB3"/>
    <w:rsid w:val="00E36F46"/>
    <w:rsid w:val="00E43773"/>
    <w:rsid w:val="00E4552F"/>
    <w:rsid w:val="00E52B0C"/>
    <w:rsid w:val="00E607C0"/>
    <w:rsid w:val="00E61BE3"/>
    <w:rsid w:val="00E70313"/>
    <w:rsid w:val="00E75A67"/>
    <w:rsid w:val="00E81F84"/>
    <w:rsid w:val="00E84338"/>
    <w:rsid w:val="00E84F31"/>
    <w:rsid w:val="00E84F37"/>
    <w:rsid w:val="00E93CBB"/>
    <w:rsid w:val="00E96562"/>
    <w:rsid w:val="00EA08B8"/>
    <w:rsid w:val="00EA0F9D"/>
    <w:rsid w:val="00EA1D68"/>
    <w:rsid w:val="00EA6C46"/>
    <w:rsid w:val="00EB23E7"/>
    <w:rsid w:val="00EB3DBA"/>
    <w:rsid w:val="00EB3E5D"/>
    <w:rsid w:val="00EB7960"/>
    <w:rsid w:val="00EC62FD"/>
    <w:rsid w:val="00EC6A4D"/>
    <w:rsid w:val="00EC6B71"/>
    <w:rsid w:val="00ED5181"/>
    <w:rsid w:val="00EE203B"/>
    <w:rsid w:val="00EE22B8"/>
    <w:rsid w:val="00EE3BAD"/>
    <w:rsid w:val="00EE6332"/>
    <w:rsid w:val="00EE7439"/>
    <w:rsid w:val="00EE7D54"/>
    <w:rsid w:val="00EF1B95"/>
    <w:rsid w:val="00EF3265"/>
    <w:rsid w:val="00EF5F21"/>
    <w:rsid w:val="00EF6293"/>
    <w:rsid w:val="00F01C22"/>
    <w:rsid w:val="00F0322A"/>
    <w:rsid w:val="00F118D4"/>
    <w:rsid w:val="00F124EF"/>
    <w:rsid w:val="00F14A8B"/>
    <w:rsid w:val="00F14D39"/>
    <w:rsid w:val="00F15985"/>
    <w:rsid w:val="00F1651A"/>
    <w:rsid w:val="00F16A55"/>
    <w:rsid w:val="00F21DD8"/>
    <w:rsid w:val="00F2484C"/>
    <w:rsid w:val="00F2524C"/>
    <w:rsid w:val="00F264F6"/>
    <w:rsid w:val="00F31DBA"/>
    <w:rsid w:val="00F31E19"/>
    <w:rsid w:val="00F32434"/>
    <w:rsid w:val="00F44CDE"/>
    <w:rsid w:val="00F4747C"/>
    <w:rsid w:val="00F5165D"/>
    <w:rsid w:val="00F523A2"/>
    <w:rsid w:val="00F52BC0"/>
    <w:rsid w:val="00F61DA9"/>
    <w:rsid w:val="00F61E52"/>
    <w:rsid w:val="00F67ABD"/>
    <w:rsid w:val="00F705B7"/>
    <w:rsid w:val="00F71BEE"/>
    <w:rsid w:val="00F72A40"/>
    <w:rsid w:val="00F74919"/>
    <w:rsid w:val="00F75D37"/>
    <w:rsid w:val="00F84DC4"/>
    <w:rsid w:val="00FA4238"/>
    <w:rsid w:val="00FB1319"/>
    <w:rsid w:val="00FC353C"/>
    <w:rsid w:val="00FC537E"/>
    <w:rsid w:val="00FD0403"/>
    <w:rsid w:val="00FD12C6"/>
    <w:rsid w:val="00FD30DC"/>
    <w:rsid w:val="00FD56B9"/>
    <w:rsid w:val="00FD68AB"/>
    <w:rsid w:val="00FE1170"/>
    <w:rsid w:val="00FE3A2F"/>
    <w:rsid w:val="00FE7648"/>
    <w:rsid w:val="00FF04E2"/>
    <w:rsid w:val="00FF1EF9"/>
    <w:rsid w:val="00FF2E4A"/>
    <w:rsid w:val="00FF424F"/>
    <w:rsid w:val="00FF4E56"/>
    <w:rsid w:val="01875C90"/>
    <w:rsid w:val="039340F1"/>
    <w:rsid w:val="03FA70E1"/>
    <w:rsid w:val="05594661"/>
    <w:rsid w:val="07132904"/>
    <w:rsid w:val="07E10420"/>
    <w:rsid w:val="0A0250B2"/>
    <w:rsid w:val="0A0302D4"/>
    <w:rsid w:val="0B156FBA"/>
    <w:rsid w:val="0BB471FF"/>
    <w:rsid w:val="0BB6790D"/>
    <w:rsid w:val="0BCA5756"/>
    <w:rsid w:val="0FBF43B9"/>
    <w:rsid w:val="0FD32D62"/>
    <w:rsid w:val="10533CEF"/>
    <w:rsid w:val="10F35673"/>
    <w:rsid w:val="12141FE2"/>
    <w:rsid w:val="12FD5943"/>
    <w:rsid w:val="13254A31"/>
    <w:rsid w:val="13A07E58"/>
    <w:rsid w:val="13AD216F"/>
    <w:rsid w:val="151E4871"/>
    <w:rsid w:val="15272714"/>
    <w:rsid w:val="166F0CB2"/>
    <w:rsid w:val="17642381"/>
    <w:rsid w:val="17CC0DF4"/>
    <w:rsid w:val="187A7FF0"/>
    <w:rsid w:val="19AB1DD5"/>
    <w:rsid w:val="19D11DC0"/>
    <w:rsid w:val="1A644AB4"/>
    <w:rsid w:val="1AAE3005"/>
    <w:rsid w:val="1ACD4117"/>
    <w:rsid w:val="1B193AF0"/>
    <w:rsid w:val="1D2C10EA"/>
    <w:rsid w:val="1D666D95"/>
    <w:rsid w:val="1E776A34"/>
    <w:rsid w:val="1FD6F3C9"/>
    <w:rsid w:val="218641AB"/>
    <w:rsid w:val="231F54B4"/>
    <w:rsid w:val="25A22934"/>
    <w:rsid w:val="267A29D7"/>
    <w:rsid w:val="27BC1577"/>
    <w:rsid w:val="2BFE1733"/>
    <w:rsid w:val="2C890CC0"/>
    <w:rsid w:val="2DDD233D"/>
    <w:rsid w:val="30450836"/>
    <w:rsid w:val="30AA2FC9"/>
    <w:rsid w:val="30AA46D2"/>
    <w:rsid w:val="343B467F"/>
    <w:rsid w:val="355A6648"/>
    <w:rsid w:val="36762B86"/>
    <w:rsid w:val="36DE1C52"/>
    <w:rsid w:val="37B51780"/>
    <w:rsid w:val="37DF87D2"/>
    <w:rsid w:val="385B679F"/>
    <w:rsid w:val="39E648C8"/>
    <w:rsid w:val="3A694DE0"/>
    <w:rsid w:val="3ABA368D"/>
    <w:rsid w:val="3ACE7EDE"/>
    <w:rsid w:val="3C667DC0"/>
    <w:rsid w:val="3D144520"/>
    <w:rsid w:val="402B4B51"/>
    <w:rsid w:val="42670826"/>
    <w:rsid w:val="426F2407"/>
    <w:rsid w:val="42A10D90"/>
    <w:rsid w:val="43676B45"/>
    <w:rsid w:val="439471D8"/>
    <w:rsid w:val="43A34D65"/>
    <w:rsid w:val="44C47866"/>
    <w:rsid w:val="45BA3219"/>
    <w:rsid w:val="47020748"/>
    <w:rsid w:val="49186A25"/>
    <w:rsid w:val="4A2572BD"/>
    <w:rsid w:val="4A607FB0"/>
    <w:rsid w:val="4AF92C40"/>
    <w:rsid w:val="4D0B2FC0"/>
    <w:rsid w:val="4D1971E8"/>
    <w:rsid w:val="4E133E42"/>
    <w:rsid w:val="50054590"/>
    <w:rsid w:val="5013061D"/>
    <w:rsid w:val="502C60B0"/>
    <w:rsid w:val="50411F71"/>
    <w:rsid w:val="52117662"/>
    <w:rsid w:val="521B151F"/>
    <w:rsid w:val="54CE0A81"/>
    <w:rsid w:val="562E719D"/>
    <w:rsid w:val="563447EA"/>
    <w:rsid w:val="58904EF7"/>
    <w:rsid w:val="589A34FC"/>
    <w:rsid w:val="596B68F6"/>
    <w:rsid w:val="59F81C0F"/>
    <w:rsid w:val="5B8A5388"/>
    <w:rsid w:val="5BC42422"/>
    <w:rsid w:val="5BD0309D"/>
    <w:rsid w:val="5C7B303A"/>
    <w:rsid w:val="5CD83EC8"/>
    <w:rsid w:val="5CE5663B"/>
    <w:rsid w:val="5D1551BE"/>
    <w:rsid w:val="5E533D6C"/>
    <w:rsid w:val="5E6C3D8F"/>
    <w:rsid w:val="600949C5"/>
    <w:rsid w:val="60E03DAA"/>
    <w:rsid w:val="61937FAC"/>
    <w:rsid w:val="61B466F7"/>
    <w:rsid w:val="62BB0AC6"/>
    <w:rsid w:val="62F5426C"/>
    <w:rsid w:val="647F79AB"/>
    <w:rsid w:val="64AB528F"/>
    <w:rsid w:val="65833336"/>
    <w:rsid w:val="67FC036A"/>
    <w:rsid w:val="67FF8ECB"/>
    <w:rsid w:val="68306600"/>
    <w:rsid w:val="69116813"/>
    <w:rsid w:val="69C761AF"/>
    <w:rsid w:val="6A841BD5"/>
    <w:rsid w:val="6AA425FB"/>
    <w:rsid w:val="6B6B5D1C"/>
    <w:rsid w:val="6C752E96"/>
    <w:rsid w:val="6EB53861"/>
    <w:rsid w:val="7040659E"/>
    <w:rsid w:val="70490E7E"/>
    <w:rsid w:val="708C3591"/>
    <w:rsid w:val="725C7AF2"/>
    <w:rsid w:val="73311B73"/>
    <w:rsid w:val="7361435F"/>
    <w:rsid w:val="74D123F0"/>
    <w:rsid w:val="759037B8"/>
    <w:rsid w:val="7620155A"/>
    <w:rsid w:val="76DD3B12"/>
    <w:rsid w:val="77C04082"/>
    <w:rsid w:val="78EB5673"/>
    <w:rsid w:val="798474FC"/>
    <w:rsid w:val="79EC3DC4"/>
    <w:rsid w:val="7AD32165"/>
    <w:rsid w:val="7BE40725"/>
    <w:rsid w:val="7C6064DA"/>
    <w:rsid w:val="7ECD36F3"/>
    <w:rsid w:val="7FE761CD"/>
    <w:rsid w:val="96FF2F13"/>
    <w:rsid w:val="A47B5F61"/>
    <w:rsid w:val="BF0B0AF9"/>
    <w:rsid w:val="EFF0AD6A"/>
    <w:rsid w:val="F7BDD7E8"/>
    <w:rsid w:val="FC876E37"/>
    <w:rsid w:val="FEEF1F9D"/>
    <w:rsid w:val="FFDF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45"/>
    <w:qFormat/>
    <w:uiPriority w:val="0"/>
    <w:pPr>
      <w:tabs>
        <w:tab w:val="left" w:pos="720"/>
      </w:tabs>
      <w:autoSpaceDE w:val="0"/>
      <w:autoSpaceDN w:val="0"/>
      <w:adjustRightInd w:val="0"/>
      <w:snapToGrid w:val="0"/>
      <w:spacing w:line="360" w:lineRule="auto"/>
      <w:ind w:left="624" w:hanging="624"/>
      <w:textAlignment w:val="baseline"/>
    </w:pPr>
    <w:rPr>
      <w:rFonts w:ascii="宋体" w:hAnsi="Times New Roman" w:eastAsia="宋体" w:cs="Times New Roman"/>
      <w:snapToGrid w:val="0"/>
      <w:color w:val="000000"/>
      <w:kern w:val="0"/>
      <w:szCs w:val="20"/>
    </w:rPr>
  </w:style>
  <w:style w:type="paragraph" w:styleId="4">
    <w:name w:val="annotation text"/>
    <w:basedOn w:val="1"/>
    <w:link w:val="24"/>
    <w:unhideWhenUsed/>
    <w:qFormat/>
    <w:uiPriority w:val="0"/>
    <w:pPr>
      <w:jc w:val="left"/>
    </w:pPr>
  </w:style>
  <w:style w:type="paragraph" w:styleId="5">
    <w:name w:val="Body Text"/>
    <w:basedOn w:val="1"/>
    <w:next w:val="6"/>
    <w:link w:val="38"/>
    <w:qFormat/>
    <w:uiPriority w:val="0"/>
    <w:pPr>
      <w:ind w:left="248" w:firstLine="708"/>
    </w:pPr>
    <w:rPr>
      <w:rFonts w:ascii="仿宋" w:hAnsi="仿宋" w:eastAsia="仿宋" w:cs="Times New Roman"/>
      <w:sz w:val="32"/>
      <w:szCs w:val="32"/>
    </w:rPr>
  </w:style>
  <w:style w:type="paragraph" w:styleId="6">
    <w:name w:val="toc 5"/>
    <w:basedOn w:val="1"/>
    <w:next w:val="1"/>
    <w:semiHidden/>
    <w:unhideWhenUsed/>
    <w:qFormat/>
    <w:uiPriority w:val="39"/>
    <w:pPr>
      <w:ind w:left="1680" w:leftChars="800"/>
    </w:pPr>
  </w:style>
  <w:style w:type="paragraph" w:styleId="7">
    <w:name w:val="index 4"/>
    <w:basedOn w:val="1"/>
    <w:next w:val="1"/>
    <w:unhideWhenUsed/>
    <w:qFormat/>
    <w:uiPriority w:val="99"/>
    <w:pPr>
      <w:numPr>
        <w:ilvl w:val="0"/>
        <w:numId w:val="1"/>
      </w:numPr>
      <w:spacing w:line="360" w:lineRule="auto"/>
    </w:pPr>
    <w:rPr>
      <w:rFonts w:ascii="Calibri" w:hAnsi="Calibri" w:eastAsia="宋体" w:cs="Times New Roman"/>
      <w:szCs w:val="24"/>
    </w:rPr>
  </w:style>
  <w:style w:type="paragraph" w:styleId="8">
    <w:name w:val="Plain Text"/>
    <w:basedOn w:val="1"/>
    <w:link w:val="29"/>
    <w:qFormat/>
    <w:uiPriority w:val="0"/>
    <w:rPr>
      <w:rFonts w:ascii="宋体" w:hAnsi="Courier New" w:eastAsia="宋体" w:cs="Times New Roman"/>
      <w:kern w:val="0"/>
      <w:sz w:val="20"/>
      <w:szCs w:val="21"/>
    </w:rPr>
  </w:style>
  <w:style w:type="paragraph" w:styleId="9">
    <w:name w:val="Balloon Text"/>
    <w:basedOn w:val="1"/>
    <w:link w:val="25"/>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unhideWhenUsed/>
    <w:qFormat/>
    <w:uiPriority w:val="39"/>
    <w:pPr>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7"/>
    <w:qFormat/>
    <w:uiPriority w:val="10"/>
    <w:pPr>
      <w:spacing w:before="240" w:after="60"/>
      <w:jc w:val="center"/>
      <w:outlineLvl w:val="0"/>
    </w:pPr>
    <w:rPr>
      <w:rFonts w:eastAsia="宋体" w:asciiTheme="majorHAnsi" w:hAnsiTheme="majorHAnsi" w:cstheme="majorBidi"/>
      <w:b/>
      <w:bCs/>
      <w:sz w:val="32"/>
      <w:szCs w:val="32"/>
    </w:rPr>
  </w:style>
  <w:style w:type="paragraph" w:styleId="15">
    <w:name w:val="annotation subject"/>
    <w:basedOn w:val="4"/>
    <w:next w:val="4"/>
    <w:link w:val="2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annotation reference"/>
    <w:basedOn w:val="18"/>
    <w:unhideWhenUsed/>
    <w:qFormat/>
    <w:uiPriority w:val="0"/>
    <w:rPr>
      <w:sz w:val="21"/>
      <w:szCs w:val="21"/>
    </w:rPr>
  </w:style>
  <w:style w:type="character" w:customStyle="1" w:styleId="21">
    <w:name w:val="页眉 Char"/>
    <w:basedOn w:val="18"/>
    <w:link w:val="11"/>
    <w:qFormat/>
    <w:uiPriority w:val="99"/>
    <w:rPr>
      <w:sz w:val="18"/>
      <w:szCs w:val="18"/>
    </w:rPr>
  </w:style>
  <w:style w:type="character" w:customStyle="1" w:styleId="22">
    <w:name w:val="页脚 Char"/>
    <w:basedOn w:val="18"/>
    <w:link w:val="10"/>
    <w:qFormat/>
    <w:uiPriority w:val="99"/>
    <w:rPr>
      <w:sz w:val="18"/>
      <w:szCs w:val="18"/>
    </w:rPr>
  </w:style>
  <w:style w:type="paragraph" w:styleId="23">
    <w:name w:val="List Paragraph"/>
    <w:basedOn w:val="1"/>
    <w:link w:val="31"/>
    <w:qFormat/>
    <w:uiPriority w:val="99"/>
    <w:pPr>
      <w:ind w:firstLine="420" w:firstLineChars="200"/>
    </w:pPr>
  </w:style>
  <w:style w:type="character" w:customStyle="1" w:styleId="24">
    <w:name w:val="批注文字 Char"/>
    <w:basedOn w:val="18"/>
    <w:link w:val="4"/>
    <w:qFormat/>
    <w:uiPriority w:val="0"/>
  </w:style>
  <w:style w:type="character" w:customStyle="1" w:styleId="25">
    <w:name w:val="批注框文本 Char"/>
    <w:basedOn w:val="18"/>
    <w:link w:val="9"/>
    <w:semiHidden/>
    <w:qFormat/>
    <w:uiPriority w:val="99"/>
    <w:rPr>
      <w:sz w:val="18"/>
      <w:szCs w:val="18"/>
    </w:rPr>
  </w:style>
  <w:style w:type="character" w:customStyle="1" w:styleId="26">
    <w:name w:val="批注主题 Char"/>
    <w:basedOn w:val="24"/>
    <w:link w:val="15"/>
    <w:semiHidden/>
    <w:qFormat/>
    <w:uiPriority w:val="99"/>
    <w:rPr>
      <w:b/>
      <w:bCs/>
    </w:rPr>
  </w:style>
  <w:style w:type="character" w:customStyle="1" w:styleId="27">
    <w:name w:val="标题 Char"/>
    <w:basedOn w:val="18"/>
    <w:link w:val="14"/>
    <w:qFormat/>
    <w:uiPriority w:val="10"/>
    <w:rPr>
      <w:rFonts w:eastAsia="宋体" w:asciiTheme="majorHAnsi" w:hAnsiTheme="majorHAnsi" w:cstheme="majorBidi"/>
      <w:b/>
      <w:bCs/>
      <w:sz w:val="32"/>
      <w:szCs w:val="32"/>
    </w:rPr>
  </w:style>
  <w:style w:type="character" w:customStyle="1" w:styleId="28">
    <w:name w:val="标题 2 Char"/>
    <w:basedOn w:val="18"/>
    <w:link w:val="2"/>
    <w:qFormat/>
    <w:uiPriority w:val="0"/>
    <w:rPr>
      <w:rFonts w:ascii="Arial" w:hAnsi="Arial" w:eastAsia="黑体" w:cs="Times New Roman"/>
      <w:b/>
      <w:bCs/>
      <w:sz w:val="32"/>
      <w:szCs w:val="32"/>
    </w:rPr>
  </w:style>
  <w:style w:type="character" w:customStyle="1" w:styleId="29">
    <w:name w:val="纯文本 Char"/>
    <w:basedOn w:val="18"/>
    <w:link w:val="8"/>
    <w:qFormat/>
    <w:uiPriority w:val="0"/>
    <w:rPr>
      <w:rFonts w:ascii="宋体" w:hAnsi="Courier New" w:eastAsia="宋体" w:cs="Times New Roman"/>
      <w:kern w:val="0"/>
      <w:sz w:val="20"/>
      <w:szCs w:val="21"/>
    </w:rPr>
  </w:style>
  <w:style w:type="paragraph" w:customStyle="1" w:styleId="3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1">
    <w:name w:val="列出段落 Char"/>
    <w:link w:val="23"/>
    <w:qFormat/>
    <w:uiPriority w:val="99"/>
  </w:style>
  <w:style w:type="paragraph" w:customStyle="1" w:styleId="32">
    <w:name w:val="样式4"/>
    <w:basedOn w:val="1"/>
    <w:qFormat/>
    <w:uiPriority w:val="0"/>
    <w:pPr>
      <w:numPr>
        <w:ilvl w:val="3"/>
        <w:numId w:val="2"/>
      </w:numPr>
      <w:tabs>
        <w:tab w:val="left" w:pos="425"/>
        <w:tab w:val="left" w:pos="1984"/>
        <w:tab w:val="clear" w:pos="851"/>
      </w:tabs>
    </w:pPr>
    <w:rPr>
      <w:rFonts w:ascii="Times New Roman" w:hAnsi="Times New Roman" w:eastAsia="宋体" w:cs="Times New Roman"/>
      <w:szCs w:val="24"/>
    </w:rPr>
  </w:style>
  <w:style w:type="paragraph" w:customStyle="1" w:styleId="33">
    <w:name w:val="列出段落1"/>
    <w:basedOn w:val="1"/>
    <w:link w:val="34"/>
    <w:qFormat/>
    <w:uiPriority w:val="99"/>
    <w:pPr>
      <w:ind w:firstLine="420" w:firstLineChars="200"/>
    </w:pPr>
    <w:rPr>
      <w:rFonts w:ascii="Times New Roman" w:hAnsi="Times New Roman" w:eastAsia="宋体" w:cs="Times New Roman"/>
      <w:szCs w:val="21"/>
    </w:rPr>
  </w:style>
  <w:style w:type="character" w:customStyle="1" w:styleId="34">
    <w:name w:val="List Paragraph Char"/>
    <w:link w:val="33"/>
    <w:qFormat/>
    <w:locked/>
    <w:uiPriority w:val="99"/>
    <w:rPr>
      <w:rFonts w:ascii="Times New Roman" w:hAnsi="Times New Roman" w:eastAsia="宋体" w:cs="Times New Roman"/>
      <w:szCs w:val="21"/>
    </w:rPr>
  </w:style>
  <w:style w:type="paragraph" w:customStyle="1" w:styleId="35">
    <w:name w:val="_Style 121"/>
    <w:basedOn w:val="1"/>
    <w:next w:val="23"/>
    <w:qFormat/>
    <w:uiPriority w:val="34"/>
    <w:pPr>
      <w:ind w:firstLine="420" w:firstLineChars="200"/>
    </w:pPr>
    <w:rPr>
      <w:rFonts w:ascii="Calibri" w:hAnsi="Calibri" w:eastAsia="宋体" w:cs="Times New Roman"/>
    </w:rPr>
  </w:style>
  <w:style w:type="paragraph" w:customStyle="1" w:styleId="36">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8">
    <w:name w:val="正文文本 Char"/>
    <w:basedOn w:val="18"/>
    <w:link w:val="5"/>
    <w:qFormat/>
    <w:uiPriority w:val="0"/>
    <w:rPr>
      <w:rFonts w:ascii="仿宋" w:hAnsi="仿宋" w:eastAsia="仿宋" w:cs="Times New Roman"/>
      <w:sz w:val="32"/>
      <w:szCs w:val="32"/>
    </w:rPr>
  </w:style>
  <w:style w:type="paragraph" w:customStyle="1" w:styleId="3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font81"/>
    <w:basedOn w:val="18"/>
    <w:qFormat/>
    <w:uiPriority w:val="0"/>
    <w:rPr>
      <w:rFonts w:hint="default" w:ascii="Times New Roman" w:hAnsi="Times New Roman" w:cs="Times New Roman"/>
      <w:b/>
      <w:bCs/>
      <w:color w:val="000000"/>
      <w:sz w:val="21"/>
      <w:szCs w:val="21"/>
      <w:u w:val="none"/>
    </w:rPr>
  </w:style>
  <w:style w:type="character" w:customStyle="1" w:styleId="43">
    <w:name w:val="font131"/>
    <w:basedOn w:val="18"/>
    <w:qFormat/>
    <w:uiPriority w:val="0"/>
    <w:rPr>
      <w:rFonts w:hint="eastAsia" w:ascii="宋体" w:hAnsi="宋体" w:eastAsia="宋体" w:cs="宋体"/>
      <w:color w:val="FF0000"/>
      <w:sz w:val="21"/>
      <w:szCs w:val="21"/>
      <w:u w:val="none"/>
    </w:rPr>
  </w:style>
  <w:style w:type="paragraph" w:customStyle="1" w:styleId="44">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正文缩进 Char"/>
    <w:link w:val="3"/>
    <w:qFormat/>
    <w:uiPriority w:val="0"/>
    <w:rPr>
      <w:rFonts w:ascii="宋体"/>
      <w:snapToGrid w:val="0"/>
      <w:color w:val="000000"/>
      <w:sz w:val="21"/>
    </w:rPr>
  </w:style>
  <w:style w:type="character" w:customStyle="1" w:styleId="46">
    <w:name w:val="font01"/>
    <w:basedOn w:val="18"/>
    <w:qFormat/>
    <w:uiPriority w:val="0"/>
    <w:rPr>
      <w:rFonts w:ascii="宋体" w:hAnsi="宋体" w:eastAsia="宋体" w:cs="宋体"/>
      <w:color w:val="000000"/>
      <w:sz w:val="24"/>
      <w:szCs w:val="24"/>
      <w:u w:val="none"/>
    </w:rPr>
  </w:style>
  <w:style w:type="character" w:customStyle="1" w:styleId="47">
    <w:name w:val="font1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5834</Words>
  <Characters>5938</Characters>
  <Lines>101</Lines>
  <Paragraphs>28</Paragraphs>
  <TotalTime>1216</TotalTime>
  <ScaleCrop>false</ScaleCrop>
  <LinksUpToDate>false</LinksUpToDate>
  <CharactersWithSpaces>5942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2022-12-06T11:24:00Z</dcterms:created>
  <dc:creator>dreamsummit</dc:creator>
  <cp:lastModifiedBy>绿婷</cp:lastModifiedBy>
  <cp:lastPrinted>2023-11-18T09:13:00Z</cp:lastPrinted>
  <dcterms:modified xsi:type="dcterms:W3CDTF">2024-12-17T06:10:05Z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593F56AFC6274196BC8ED235877827A9_13</vt:lpwstr>
  </property>
</Properties>
</file>