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360" w:lineRule="auto"/>
        <w:jc w:val="center"/>
        <w:outlineLvl w:val="0"/>
        <w:rPr>
          <w:rFonts w:hint="default"/>
          <w:b/>
          <w:sz w:val="28"/>
          <w:szCs w:val="28"/>
        </w:rPr>
      </w:pPr>
      <w:bookmarkStart w:id="38" w:name="_GoBack"/>
      <w:r>
        <w:rPr>
          <w:rFonts w:hint="eastAsia"/>
          <w:b/>
          <w:sz w:val="28"/>
          <w:szCs w:val="28"/>
          <w:lang w:eastAsia="zh-CN"/>
        </w:rPr>
        <w:t>广东省监狱中心医院“三供一业”供电改造项目（重招）</w:t>
      </w:r>
      <w:r>
        <w:rPr>
          <w:rFonts w:hint="eastAsia"/>
          <w:b/>
          <w:sz w:val="28"/>
          <w:szCs w:val="28"/>
        </w:rPr>
        <w:t>竞争性磋商公告</w:t>
      </w:r>
    </w:p>
    <w:bookmarkEnd w:id="38"/>
    <w:p>
      <w:pPr>
        <w:widowControl/>
        <w:autoSpaceDE/>
        <w:autoSpaceDN/>
        <w:adjustRightInd/>
        <w:snapToGrid w:val="0"/>
        <w:spacing w:beforeLines="0" w:afterLines="0" w:line="360" w:lineRule="auto"/>
        <w:rPr>
          <w:rFonts w:hint="eastAsia" w:ascii="宋体" w:hAnsi="宋体" w:cs="宋体"/>
          <w:b/>
          <w:color w:val="000000"/>
          <w:sz w:val="24"/>
          <w:szCs w:val="24"/>
        </w:rPr>
      </w:pPr>
      <w:r>
        <w:rPr>
          <w:rFonts w:hint="eastAsia" w:ascii="宋体" w:hAnsi="宋体" w:cs="宋体"/>
          <w:b/>
          <w:color w:val="000000"/>
          <w:sz w:val="24"/>
          <w:szCs w:val="24"/>
        </w:rPr>
        <w:t>项目概况</w:t>
      </w:r>
    </w:p>
    <w:p>
      <w:pPr>
        <w:wordWrap w:val="0"/>
        <w:autoSpaceDE/>
        <w:autoSpaceDN/>
        <w:adjustRightInd/>
        <w:snapToGrid w:val="0"/>
        <w:spacing w:beforeLines="0" w:afterLines="0" w:line="360" w:lineRule="auto"/>
        <w:ind w:left="-36" w:leftChars="-17" w:firstLine="360" w:firstLineChars="150"/>
        <w:jc w:val="both"/>
        <w:rPr>
          <w:rFonts w:hint="eastAsia" w:ascii="宋体" w:hAnsi="宋体" w:cs="宋体"/>
          <w:kern w:val="2"/>
          <w:sz w:val="24"/>
          <w:szCs w:val="24"/>
        </w:rPr>
      </w:pPr>
      <w:bookmarkStart w:id="0" w:name="_Toc28359012"/>
      <w:bookmarkStart w:id="1" w:name="_Toc28359089"/>
      <w:bookmarkStart w:id="2" w:name="_Toc35393798"/>
      <w:bookmarkStart w:id="3" w:name="_Toc35393629"/>
      <w:r>
        <w:rPr>
          <w:rFonts w:hint="eastAsia" w:ascii="宋体" w:hAnsi="宋体" w:cs="宋体"/>
          <w:kern w:val="2"/>
          <w:sz w:val="24"/>
          <w:szCs w:val="24"/>
          <w:u w:val="single"/>
          <w:lang w:eastAsia="zh-CN"/>
        </w:rPr>
        <w:t>广东省监狱中心医院“三供一业”供电改造项目（重招）</w:t>
      </w:r>
      <w:r>
        <w:rPr>
          <w:rFonts w:hint="eastAsia" w:ascii="宋体" w:hAnsi="宋体" w:cs="宋体"/>
          <w:kern w:val="2"/>
          <w:sz w:val="24"/>
          <w:szCs w:val="24"/>
        </w:rPr>
        <w:t>采购项目的潜在供应商应在</w:t>
      </w:r>
      <w:r>
        <w:rPr>
          <w:rFonts w:hint="eastAsia" w:ascii="宋体" w:hAnsi="宋体" w:cs="宋体"/>
          <w:kern w:val="2"/>
          <w:sz w:val="24"/>
          <w:szCs w:val="24"/>
          <w:u w:val="single"/>
        </w:rPr>
        <w:t>广州市环市东路472号粤海大厦7楼</w:t>
      </w:r>
      <w:r>
        <w:rPr>
          <w:rFonts w:hint="eastAsia" w:ascii="宋体" w:hAnsi="宋体" w:cs="宋体"/>
          <w:kern w:val="2"/>
          <w:sz w:val="24"/>
          <w:szCs w:val="24"/>
        </w:rPr>
        <w:t>获取采购文件，并于</w:t>
      </w:r>
      <w:r>
        <w:rPr>
          <w:rFonts w:hint="eastAsia" w:ascii="宋体" w:hAnsi="宋体" w:cs="宋体"/>
          <w:color w:val="auto"/>
          <w:kern w:val="2"/>
          <w:sz w:val="24"/>
          <w:szCs w:val="24"/>
          <w:u w:val="single"/>
          <w:lang w:val="en-US" w:eastAsia="zh-CN"/>
        </w:rPr>
        <w:t>2024</w:t>
      </w:r>
      <w:r>
        <w:rPr>
          <w:rFonts w:hint="eastAsia" w:ascii="宋体" w:hAnsi="宋体" w:cs="宋体"/>
          <w:color w:val="auto"/>
          <w:kern w:val="2"/>
          <w:sz w:val="24"/>
          <w:szCs w:val="24"/>
        </w:rPr>
        <w:t>年</w:t>
      </w:r>
      <w:r>
        <w:rPr>
          <w:rFonts w:hint="eastAsia" w:ascii="宋体" w:hAnsi="宋体" w:cs="宋体"/>
          <w:color w:val="auto"/>
          <w:kern w:val="2"/>
          <w:sz w:val="24"/>
          <w:szCs w:val="24"/>
          <w:u w:val="single"/>
          <w:lang w:val="en-US" w:eastAsia="zh-CN"/>
        </w:rPr>
        <w:t>2</w:t>
      </w:r>
      <w:r>
        <w:rPr>
          <w:rFonts w:hint="eastAsia" w:ascii="宋体" w:hAnsi="宋体" w:cs="宋体"/>
          <w:color w:val="auto"/>
          <w:kern w:val="2"/>
          <w:sz w:val="24"/>
          <w:szCs w:val="24"/>
        </w:rPr>
        <w:t>月</w:t>
      </w:r>
      <w:r>
        <w:rPr>
          <w:rFonts w:hint="eastAsia" w:ascii="宋体" w:hAnsi="宋体" w:cs="宋体"/>
          <w:color w:val="auto"/>
          <w:kern w:val="2"/>
          <w:sz w:val="24"/>
          <w:szCs w:val="24"/>
          <w:u w:val="single"/>
          <w:lang w:val="en-US" w:eastAsia="zh-CN"/>
        </w:rPr>
        <w:t>7</w:t>
      </w:r>
      <w:r>
        <w:rPr>
          <w:rFonts w:hint="eastAsia" w:ascii="宋体" w:hAnsi="宋体" w:cs="宋体"/>
          <w:color w:val="auto"/>
          <w:kern w:val="2"/>
          <w:sz w:val="24"/>
          <w:szCs w:val="24"/>
        </w:rPr>
        <w:t>日</w:t>
      </w:r>
      <w:r>
        <w:rPr>
          <w:rFonts w:hint="eastAsia" w:ascii="宋体" w:hAnsi="宋体" w:cs="宋体"/>
          <w:color w:val="auto"/>
          <w:kern w:val="2"/>
          <w:sz w:val="24"/>
          <w:szCs w:val="24"/>
          <w:u w:val="single"/>
          <w:lang w:val="en-US" w:eastAsia="zh-CN"/>
        </w:rPr>
        <w:t>9</w:t>
      </w:r>
      <w:r>
        <w:rPr>
          <w:rFonts w:hint="eastAsia" w:ascii="宋体" w:hAnsi="宋体" w:cs="宋体"/>
          <w:color w:val="auto"/>
          <w:kern w:val="2"/>
          <w:sz w:val="24"/>
          <w:szCs w:val="24"/>
        </w:rPr>
        <w:t>点</w:t>
      </w:r>
      <w:r>
        <w:rPr>
          <w:rFonts w:hint="eastAsia" w:ascii="宋体" w:hAnsi="宋体" w:cs="宋体"/>
          <w:color w:val="auto"/>
          <w:kern w:val="2"/>
          <w:sz w:val="24"/>
          <w:szCs w:val="24"/>
          <w:u w:val="single"/>
          <w:lang w:val="en-US" w:eastAsia="zh-CN"/>
        </w:rPr>
        <w:t>30</w:t>
      </w:r>
      <w:r>
        <w:rPr>
          <w:rFonts w:hint="eastAsia" w:ascii="宋体" w:hAnsi="宋体" w:cs="宋体"/>
          <w:color w:val="auto"/>
          <w:kern w:val="2"/>
          <w:sz w:val="24"/>
          <w:szCs w:val="24"/>
        </w:rPr>
        <w:t>分（北京</w:t>
      </w:r>
      <w:r>
        <w:rPr>
          <w:rFonts w:hint="eastAsia" w:ascii="宋体" w:hAnsi="宋体" w:cs="宋体"/>
          <w:kern w:val="2"/>
          <w:sz w:val="24"/>
          <w:szCs w:val="24"/>
        </w:rPr>
        <w:t>时间）前提交申请文件。</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r>
        <w:rPr>
          <w:rFonts w:hint="eastAsia" w:ascii="宋体" w:hAnsi="宋体"/>
          <w:b/>
          <w:kern w:val="2"/>
          <w:sz w:val="24"/>
          <w:szCs w:val="24"/>
        </w:rPr>
        <w:t>项目基本情况</w:t>
      </w:r>
      <w:bookmarkEnd w:id="0"/>
      <w:bookmarkEnd w:id="1"/>
      <w:bookmarkEnd w:id="2"/>
      <w:bookmarkEnd w:id="3"/>
    </w:p>
    <w:p>
      <w:pPr>
        <w:autoSpaceDE/>
        <w:autoSpaceDN/>
        <w:adjustRightInd/>
        <w:snapToGrid w:val="0"/>
        <w:spacing w:beforeLines="0" w:afterLines="0" w:line="360" w:lineRule="auto"/>
        <w:ind w:left="1" w:hanging="1"/>
        <w:jc w:val="both"/>
        <w:rPr>
          <w:rFonts w:hint="eastAsia" w:ascii="宋体" w:hAnsi="宋体" w:eastAsia="宋体"/>
          <w:kern w:val="2"/>
          <w:sz w:val="24"/>
          <w:szCs w:val="24"/>
          <w:lang w:val="en-US" w:eastAsia="zh-CN"/>
        </w:rPr>
      </w:pPr>
      <w:r>
        <w:rPr>
          <w:rFonts w:hint="eastAsia" w:ascii="宋体" w:hAnsi="宋体"/>
          <w:kern w:val="2"/>
          <w:sz w:val="24"/>
          <w:szCs w:val="24"/>
        </w:rPr>
        <w:t>项目编号：</w:t>
      </w:r>
      <w:r>
        <w:rPr>
          <w:rFonts w:hint="eastAsia" w:ascii="宋体" w:hAnsi="宋体" w:cs="仿宋_GB2312"/>
          <w:kern w:val="2"/>
          <w:sz w:val="24"/>
          <w:szCs w:val="24"/>
          <w:u w:val="single"/>
          <w:lang w:eastAsia="zh-CN"/>
        </w:rPr>
        <w:t>CLF0123GZ10QY24B</w:t>
      </w:r>
    </w:p>
    <w:p>
      <w:pPr>
        <w:autoSpaceDE/>
        <w:autoSpaceDN/>
        <w:adjustRightInd/>
        <w:snapToGrid w:val="0"/>
        <w:spacing w:beforeLines="0" w:afterLines="0" w:line="360" w:lineRule="auto"/>
        <w:ind w:left="1" w:hanging="1"/>
        <w:jc w:val="both"/>
        <w:rPr>
          <w:rFonts w:hint="eastAsia" w:ascii="宋体" w:hAnsi="宋体" w:eastAsia="宋体"/>
          <w:kern w:val="2"/>
          <w:sz w:val="24"/>
          <w:szCs w:val="24"/>
          <w:u w:val="single"/>
          <w:lang w:eastAsia="zh-CN"/>
        </w:rPr>
      </w:pPr>
      <w:r>
        <w:rPr>
          <w:rFonts w:hint="eastAsia" w:ascii="宋体" w:hAnsi="宋体"/>
          <w:kern w:val="2"/>
          <w:sz w:val="24"/>
          <w:szCs w:val="24"/>
        </w:rPr>
        <w:t>项目名称：</w:t>
      </w:r>
      <w:r>
        <w:rPr>
          <w:rFonts w:hint="eastAsia" w:ascii="宋体" w:hAnsi="宋体" w:cs="仿宋_GB2312"/>
          <w:kern w:val="2"/>
          <w:sz w:val="24"/>
          <w:szCs w:val="24"/>
          <w:u w:val="single"/>
          <w:lang w:eastAsia="zh-CN"/>
        </w:rPr>
        <w:t>广东省监狱中心医院“三供一业”供电改造项目（重招）</w:t>
      </w:r>
    </w:p>
    <w:p>
      <w:pPr>
        <w:autoSpaceDE/>
        <w:autoSpaceDN/>
        <w:adjustRightInd/>
        <w:snapToGrid w:val="0"/>
        <w:spacing w:beforeLines="0" w:afterLines="0" w:line="360" w:lineRule="auto"/>
        <w:ind w:left="1" w:hanging="1"/>
        <w:jc w:val="both"/>
        <w:rPr>
          <w:rFonts w:hint="eastAsia" w:ascii="宋体" w:hAnsi="宋体"/>
          <w:kern w:val="2"/>
          <w:sz w:val="24"/>
          <w:szCs w:val="24"/>
        </w:rPr>
      </w:pPr>
      <w:r>
        <w:rPr>
          <w:rFonts w:hint="eastAsia" w:ascii="宋体" w:hAnsi="宋体"/>
          <w:kern w:val="2"/>
          <w:sz w:val="24"/>
          <w:szCs w:val="24"/>
        </w:rPr>
        <w:t>采购方式：</w:t>
      </w:r>
      <w:r>
        <w:rPr>
          <w:rFonts w:hint="eastAsia" w:ascii="宋体" w:hAnsi="宋体"/>
          <w:kern w:val="2"/>
          <w:sz w:val="24"/>
          <w:szCs w:val="24"/>
          <w:u w:val="single"/>
        </w:rPr>
        <w:t>竞争性磋商</w:t>
      </w:r>
    </w:p>
    <w:p>
      <w:pPr>
        <w:autoSpaceDE/>
        <w:autoSpaceDN/>
        <w:adjustRightInd/>
        <w:snapToGrid w:val="0"/>
        <w:spacing w:beforeLines="0" w:afterLines="0" w:line="360" w:lineRule="auto"/>
        <w:ind w:left="1" w:hanging="1"/>
        <w:jc w:val="both"/>
        <w:rPr>
          <w:rFonts w:hint="eastAsia" w:ascii="宋体" w:hAnsi="宋体"/>
          <w:kern w:val="2"/>
          <w:sz w:val="24"/>
          <w:szCs w:val="24"/>
        </w:rPr>
      </w:pPr>
      <w:r>
        <w:rPr>
          <w:rFonts w:hint="eastAsia" w:ascii="宋体" w:hAnsi="宋体"/>
          <w:kern w:val="2"/>
          <w:sz w:val="24"/>
          <w:szCs w:val="24"/>
        </w:rPr>
        <w:t>预算金额：</w:t>
      </w:r>
      <w:r>
        <w:rPr>
          <w:rFonts w:hint="eastAsia" w:ascii="宋体" w:hAnsi="宋体"/>
          <w:kern w:val="2"/>
          <w:sz w:val="24"/>
          <w:szCs w:val="24"/>
          <w:u w:val="single"/>
        </w:rPr>
        <w:t>154.1583</w:t>
      </w:r>
      <w:r>
        <w:rPr>
          <w:rFonts w:hint="eastAsia" w:ascii="宋体" w:hAnsi="宋体" w:cs="仿宋_GB2312"/>
          <w:kern w:val="2"/>
          <w:sz w:val="24"/>
          <w:szCs w:val="21"/>
        </w:rPr>
        <w:t>万元（人民币）</w:t>
      </w:r>
    </w:p>
    <w:p>
      <w:pPr>
        <w:autoSpaceDE/>
        <w:autoSpaceDN/>
        <w:adjustRightInd/>
        <w:snapToGrid w:val="0"/>
        <w:spacing w:beforeLines="0" w:afterLines="0" w:line="360" w:lineRule="auto"/>
        <w:ind w:firstLine="1"/>
        <w:jc w:val="both"/>
        <w:rPr>
          <w:rFonts w:hint="eastAsia" w:ascii="宋体" w:hAnsi="宋体"/>
          <w:kern w:val="2"/>
          <w:sz w:val="24"/>
          <w:szCs w:val="24"/>
        </w:rPr>
      </w:pPr>
      <w:r>
        <w:rPr>
          <w:rFonts w:hint="eastAsia" w:ascii="宋体" w:hAnsi="宋体"/>
          <w:kern w:val="2"/>
          <w:sz w:val="24"/>
          <w:szCs w:val="24"/>
        </w:rPr>
        <w:t>最高限价：</w:t>
      </w:r>
      <w:r>
        <w:rPr>
          <w:rFonts w:hint="eastAsia" w:ascii="宋体" w:hAnsi="宋体"/>
          <w:kern w:val="2"/>
          <w:sz w:val="24"/>
          <w:szCs w:val="24"/>
          <w:u w:val="single"/>
        </w:rPr>
        <w:t>154.1583</w:t>
      </w:r>
      <w:r>
        <w:rPr>
          <w:rFonts w:hint="eastAsia" w:ascii="宋体" w:hAnsi="宋体" w:cs="仿宋_GB2312"/>
          <w:kern w:val="2"/>
          <w:sz w:val="24"/>
          <w:szCs w:val="21"/>
        </w:rPr>
        <w:t>万元（人民币）</w:t>
      </w:r>
    </w:p>
    <w:p>
      <w:p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采购需求：</w:t>
      </w:r>
    </w:p>
    <w:p>
      <w:pPr>
        <w:numPr>
          <w:ilvl w:val="0"/>
          <w:numId w:val="2"/>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标的名称：</w:t>
      </w:r>
      <w:r>
        <w:rPr>
          <w:rFonts w:hint="eastAsia" w:ascii="宋体" w:hAnsi="宋体" w:cs="仿宋_GB2312"/>
          <w:kern w:val="2"/>
          <w:sz w:val="24"/>
          <w:szCs w:val="24"/>
        </w:rPr>
        <w:t>广东省监狱中心医院“三供一业”供电改造；</w:t>
      </w:r>
    </w:p>
    <w:p>
      <w:pPr>
        <w:numPr>
          <w:ilvl w:val="0"/>
          <w:numId w:val="2"/>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标的数量：</w:t>
      </w:r>
      <w:r>
        <w:rPr>
          <w:rFonts w:hint="eastAsia" w:ascii="宋体" w:hAnsi="宋体" w:cs="仿宋_GB2312"/>
          <w:kern w:val="2"/>
          <w:sz w:val="24"/>
          <w:szCs w:val="24"/>
        </w:rPr>
        <w:t>1项；</w:t>
      </w:r>
    </w:p>
    <w:p>
      <w:pPr>
        <w:numPr>
          <w:ilvl w:val="0"/>
          <w:numId w:val="2"/>
        </w:numPr>
        <w:tabs>
          <w:tab w:val="left" w:pos="4200"/>
        </w:tabs>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简要技术需求或服务要求：</w:t>
      </w:r>
    </w:p>
    <w:p>
      <w:pPr>
        <w:numPr>
          <w:ilvl w:val="0"/>
          <w:numId w:val="3"/>
        </w:numPr>
        <w:autoSpaceDE/>
        <w:autoSpaceDN/>
        <w:adjustRightInd/>
        <w:snapToGrid w:val="0"/>
        <w:spacing w:beforeLines="0" w:afterLines="0" w:line="360" w:lineRule="auto"/>
        <w:ind w:left="851" w:hanging="709"/>
        <w:jc w:val="both"/>
        <w:textAlignment w:val="baseline"/>
        <w:rPr>
          <w:rFonts w:hint="eastAsia" w:ascii="宋体" w:hAnsi="宋体" w:cs="仿宋_GB2312"/>
          <w:kern w:val="2"/>
          <w:sz w:val="24"/>
          <w:szCs w:val="24"/>
        </w:rPr>
      </w:pPr>
      <w:r>
        <w:rPr>
          <w:rFonts w:hint="eastAsia" w:ascii="宋体" w:hAnsi="宋体" w:cs="仿宋_GB2312"/>
          <w:kern w:val="2"/>
          <w:sz w:val="24"/>
          <w:szCs w:val="24"/>
        </w:rPr>
        <w:t>项目编号：</w:t>
      </w:r>
      <w:r>
        <w:rPr>
          <w:rFonts w:hint="eastAsia" w:ascii="宋体" w:hAnsi="宋体" w:cs="仿宋_GB2312"/>
          <w:kern w:val="2"/>
          <w:sz w:val="24"/>
          <w:szCs w:val="24"/>
          <w:lang w:eastAsia="zh-CN"/>
        </w:rPr>
        <w:t>CLF0123GZ10QY24B</w:t>
      </w:r>
    </w:p>
    <w:p>
      <w:pPr>
        <w:numPr>
          <w:ilvl w:val="0"/>
          <w:numId w:val="3"/>
        </w:numPr>
        <w:autoSpaceDE/>
        <w:autoSpaceDN/>
        <w:adjustRightInd/>
        <w:snapToGrid w:val="0"/>
        <w:spacing w:beforeLines="0" w:afterLines="0" w:line="360" w:lineRule="auto"/>
        <w:ind w:left="851" w:hanging="709"/>
        <w:jc w:val="both"/>
        <w:textAlignment w:val="baseline"/>
        <w:rPr>
          <w:rFonts w:hint="eastAsia" w:ascii="宋体" w:hAnsi="宋体" w:cs="仿宋_GB2312"/>
          <w:kern w:val="2"/>
          <w:sz w:val="24"/>
          <w:szCs w:val="24"/>
        </w:rPr>
      </w:pPr>
      <w:r>
        <w:rPr>
          <w:rFonts w:hint="eastAsia" w:ascii="宋体" w:hAnsi="宋体" w:cs="仿宋_GB2312"/>
          <w:kern w:val="2"/>
          <w:sz w:val="24"/>
          <w:szCs w:val="24"/>
        </w:rPr>
        <w:t>标的内容一览表</w:t>
      </w:r>
    </w:p>
    <w:tbl>
      <w:tblPr>
        <w:tblStyle w:val="2"/>
        <w:tblW w:w="4999"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382"/>
        <w:gridCol w:w="2103"/>
        <w:gridCol w:w="27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2641" w:type="pct"/>
            <w:tcBorders>
              <w:top w:val="single" w:color="auto" w:sz="12" w:space="0"/>
              <w:left w:val="single" w:color="auto" w:sz="12" w:space="0"/>
              <w:bottom w:val="single" w:color="auto" w:sz="8" w:space="0"/>
              <w:right w:val="single" w:color="auto" w:sz="8" w:space="0"/>
              <w:tl2br w:val="nil"/>
              <w:tr2bl w:val="nil"/>
            </w:tcBorders>
            <w:noWrap w:val="0"/>
            <w:vAlign w:val="center"/>
          </w:tcPr>
          <w:p>
            <w:pPr>
              <w:autoSpaceDE/>
              <w:autoSpaceDN/>
              <w:adjustRightInd/>
              <w:snapToGrid w:val="0"/>
              <w:spacing w:beforeLines="0" w:afterLines="0"/>
              <w:jc w:val="center"/>
              <w:rPr>
                <w:rFonts w:hint="default" w:ascii="Calibri" w:hAnsi="Calibri"/>
                <w:sz w:val="24"/>
                <w:szCs w:val="24"/>
              </w:rPr>
            </w:pPr>
            <w:r>
              <w:rPr>
                <w:rFonts w:hint="eastAsia" w:ascii="Calibri" w:hAnsi="Calibri"/>
                <w:sz w:val="24"/>
                <w:szCs w:val="24"/>
              </w:rPr>
              <w:t>采购内容</w:t>
            </w:r>
          </w:p>
        </w:tc>
        <w:tc>
          <w:tcPr>
            <w:tcW w:w="1032" w:type="pct"/>
            <w:tcBorders>
              <w:top w:val="single" w:color="auto" w:sz="12" w:space="0"/>
              <w:left w:val="single" w:color="auto" w:sz="8" w:space="0"/>
              <w:bottom w:val="single" w:color="auto" w:sz="8" w:space="0"/>
              <w:right w:val="single" w:color="auto" w:sz="8" w:space="0"/>
              <w:tl2br w:val="nil"/>
              <w:tr2bl w:val="nil"/>
            </w:tcBorders>
            <w:noWrap w:val="0"/>
            <w:vAlign w:val="center"/>
          </w:tcPr>
          <w:p>
            <w:pPr>
              <w:autoSpaceDE/>
              <w:autoSpaceDN/>
              <w:adjustRightInd/>
              <w:snapToGrid w:val="0"/>
              <w:spacing w:beforeLines="0" w:afterLines="0"/>
              <w:jc w:val="center"/>
              <w:rPr>
                <w:rFonts w:hint="default" w:ascii="Calibri" w:hAnsi="Calibri"/>
                <w:sz w:val="24"/>
                <w:szCs w:val="24"/>
              </w:rPr>
            </w:pPr>
            <w:r>
              <w:rPr>
                <w:rFonts w:hint="eastAsia" w:ascii="Calibri" w:hAnsi="Calibri"/>
                <w:sz w:val="24"/>
                <w:szCs w:val="24"/>
              </w:rPr>
              <w:t>数量</w:t>
            </w:r>
          </w:p>
        </w:tc>
        <w:tc>
          <w:tcPr>
            <w:tcW w:w="1325" w:type="pct"/>
            <w:tcBorders>
              <w:top w:val="single" w:color="auto" w:sz="12" w:space="0"/>
              <w:left w:val="single" w:color="auto" w:sz="8" w:space="0"/>
              <w:bottom w:val="single" w:color="auto" w:sz="8" w:space="0"/>
              <w:right w:val="single" w:color="auto" w:sz="12" w:space="0"/>
              <w:tl2br w:val="nil"/>
              <w:tr2bl w:val="nil"/>
            </w:tcBorders>
            <w:noWrap w:val="0"/>
            <w:vAlign w:val="center"/>
          </w:tcPr>
          <w:p>
            <w:pPr>
              <w:autoSpaceDE/>
              <w:autoSpaceDN/>
              <w:adjustRightInd/>
              <w:snapToGrid w:val="0"/>
              <w:spacing w:beforeLines="0" w:afterLines="0"/>
              <w:jc w:val="center"/>
              <w:rPr>
                <w:rFonts w:hint="default" w:ascii="Calibri" w:hAnsi="Calibri"/>
                <w:sz w:val="24"/>
                <w:szCs w:val="24"/>
              </w:rPr>
            </w:pPr>
            <w:r>
              <w:rPr>
                <w:rFonts w:hint="eastAsia" w:ascii="Calibri" w:hAnsi="Calibri"/>
                <w:sz w:val="24"/>
                <w:szCs w:val="24"/>
              </w:rPr>
              <w:t>最高限价</w:t>
            </w:r>
          </w:p>
          <w:p>
            <w:pPr>
              <w:autoSpaceDE/>
              <w:autoSpaceDN/>
              <w:adjustRightInd/>
              <w:snapToGrid w:val="0"/>
              <w:spacing w:beforeLines="0" w:afterLines="0"/>
              <w:jc w:val="center"/>
              <w:rPr>
                <w:rFonts w:hint="default" w:ascii="Calibri" w:hAnsi="Calibri"/>
                <w:sz w:val="24"/>
                <w:szCs w:val="24"/>
              </w:rPr>
            </w:pPr>
            <w:r>
              <w:rPr>
                <w:rFonts w:hint="eastAsia" w:ascii="Calibri" w:hAnsi="Calibri"/>
                <w:sz w:val="24"/>
                <w:szCs w:val="24"/>
              </w:rPr>
              <w:t>（人民币 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2" w:hRule="atLeast"/>
        </w:trPr>
        <w:tc>
          <w:tcPr>
            <w:tcW w:w="2641" w:type="pct"/>
            <w:tcBorders>
              <w:top w:val="single" w:color="auto" w:sz="8" w:space="0"/>
              <w:left w:val="single" w:color="auto" w:sz="12" w:space="0"/>
              <w:bottom w:val="single" w:color="auto" w:sz="12" w:space="0"/>
              <w:right w:val="single" w:color="auto" w:sz="8" w:space="0"/>
              <w:tl2br w:val="nil"/>
              <w:tr2bl w:val="nil"/>
            </w:tcBorders>
            <w:noWrap w:val="0"/>
            <w:vAlign w:val="center"/>
          </w:tcPr>
          <w:p>
            <w:pPr>
              <w:autoSpaceDE/>
              <w:autoSpaceDN/>
              <w:adjustRightInd/>
              <w:snapToGrid w:val="0"/>
              <w:spacing w:beforeLines="0" w:afterLines="0" w:line="360" w:lineRule="auto"/>
              <w:jc w:val="center"/>
              <w:rPr>
                <w:rFonts w:hint="eastAsia" w:ascii="宋体" w:hAnsi="宋体" w:cs="仿宋_GB2312"/>
                <w:sz w:val="24"/>
                <w:szCs w:val="24"/>
              </w:rPr>
            </w:pPr>
            <w:r>
              <w:rPr>
                <w:rFonts w:hint="eastAsia" w:ascii="宋体" w:hAnsi="宋体" w:cs="仿宋_GB2312"/>
                <w:sz w:val="24"/>
                <w:szCs w:val="24"/>
              </w:rPr>
              <w:t>广东省监狱中心医院“三供一业”供电改造</w:t>
            </w:r>
          </w:p>
        </w:tc>
        <w:tc>
          <w:tcPr>
            <w:tcW w:w="1032" w:type="pct"/>
            <w:tcBorders>
              <w:top w:val="single" w:color="auto" w:sz="8" w:space="0"/>
              <w:left w:val="single" w:color="auto" w:sz="8" w:space="0"/>
              <w:bottom w:val="single" w:color="auto" w:sz="12" w:space="0"/>
              <w:right w:val="single" w:color="auto" w:sz="8" w:space="0"/>
              <w:tl2br w:val="nil"/>
              <w:tr2bl w:val="nil"/>
            </w:tcBorders>
            <w:noWrap w:val="0"/>
            <w:vAlign w:val="center"/>
          </w:tcPr>
          <w:p>
            <w:pPr>
              <w:autoSpaceDE/>
              <w:autoSpaceDN/>
              <w:adjustRightInd/>
              <w:snapToGrid w:val="0"/>
              <w:spacing w:beforeLines="0" w:afterLines="0" w:line="360" w:lineRule="auto"/>
              <w:jc w:val="center"/>
              <w:rPr>
                <w:rFonts w:hint="eastAsia" w:ascii="宋体" w:hAnsi="宋体" w:cs="仿宋_GB2312"/>
                <w:sz w:val="24"/>
                <w:szCs w:val="24"/>
              </w:rPr>
            </w:pPr>
            <w:r>
              <w:rPr>
                <w:rFonts w:hint="eastAsia" w:ascii="宋体" w:hAnsi="宋体" w:cs="仿宋_GB2312"/>
                <w:sz w:val="24"/>
                <w:szCs w:val="24"/>
              </w:rPr>
              <w:t>1项</w:t>
            </w:r>
          </w:p>
        </w:tc>
        <w:tc>
          <w:tcPr>
            <w:tcW w:w="1325" w:type="pct"/>
            <w:tcBorders>
              <w:top w:val="single" w:color="auto" w:sz="8" w:space="0"/>
              <w:left w:val="single" w:color="auto" w:sz="8" w:space="0"/>
              <w:bottom w:val="single" w:color="auto" w:sz="12" w:space="0"/>
              <w:right w:val="single" w:color="auto" w:sz="12" w:space="0"/>
              <w:tl2br w:val="nil"/>
              <w:tr2bl w:val="nil"/>
            </w:tcBorders>
            <w:noWrap w:val="0"/>
            <w:vAlign w:val="center"/>
          </w:tcPr>
          <w:p>
            <w:pPr>
              <w:autoSpaceDE/>
              <w:autoSpaceDN/>
              <w:adjustRightInd/>
              <w:snapToGrid w:val="0"/>
              <w:spacing w:beforeLines="0" w:afterLines="0" w:line="360" w:lineRule="auto"/>
              <w:jc w:val="center"/>
              <w:rPr>
                <w:rFonts w:hint="eastAsia" w:ascii="宋体" w:hAnsi="宋体" w:cs="仿宋_GB2312"/>
                <w:sz w:val="24"/>
                <w:szCs w:val="24"/>
              </w:rPr>
            </w:pPr>
            <w:r>
              <w:rPr>
                <w:rFonts w:hint="eastAsia" w:ascii="宋体" w:hAnsi="宋体" w:cs="仿宋_GB2312"/>
                <w:sz w:val="24"/>
                <w:szCs w:val="24"/>
              </w:rPr>
              <w:t>154.1583</w:t>
            </w:r>
          </w:p>
        </w:tc>
      </w:tr>
    </w:tbl>
    <w:p>
      <w:pPr>
        <w:numPr>
          <w:ilvl w:val="0"/>
          <w:numId w:val="3"/>
        </w:numPr>
        <w:wordWrap w:val="0"/>
        <w:autoSpaceDE/>
        <w:autoSpaceDN/>
        <w:adjustRightInd/>
        <w:snapToGrid w:val="0"/>
        <w:spacing w:beforeLines="0" w:afterLines="0" w:line="360" w:lineRule="auto"/>
        <w:ind w:left="851" w:hanging="709"/>
        <w:jc w:val="both"/>
        <w:textAlignment w:val="baseline"/>
        <w:rPr>
          <w:rFonts w:hint="eastAsia" w:ascii="宋体" w:hAnsi="宋体" w:cs="仿宋_GB2312"/>
          <w:i/>
          <w:kern w:val="2"/>
          <w:sz w:val="24"/>
          <w:szCs w:val="24"/>
        </w:rPr>
      </w:pPr>
      <w:r>
        <w:rPr>
          <w:rFonts w:hint="eastAsia" w:ascii="宋体" w:hAnsi="宋体"/>
          <w:kern w:val="2"/>
          <w:sz w:val="24"/>
          <w:szCs w:val="24"/>
        </w:rPr>
        <w:t>简要技术要求：</w:t>
      </w:r>
      <w:r>
        <w:rPr>
          <w:rFonts w:hint="eastAsia" w:ascii="宋体" w:hAnsi="宋体"/>
          <w:kern w:val="24"/>
          <w:sz w:val="24"/>
          <w:szCs w:val="24"/>
        </w:rPr>
        <w:t>项目拟对广东省监狱中心医院用电增容项目进行改造，主要内容：改建综合房及新装变压器、高低压柜、高低压电缆、等设备及附属设备相关内容。具体详见工程量清单及施工图纸。</w:t>
      </w:r>
    </w:p>
    <w:p>
      <w:pPr>
        <w:autoSpaceDE/>
        <w:autoSpaceDN/>
        <w:adjustRightInd/>
        <w:snapToGrid w:val="0"/>
        <w:spacing w:beforeLines="0" w:afterLines="0" w:line="360" w:lineRule="auto"/>
        <w:jc w:val="both"/>
        <w:rPr>
          <w:rFonts w:hint="eastAsia" w:ascii="宋体" w:hAnsi="宋体" w:cs="仿宋_GB2312"/>
          <w:kern w:val="2"/>
          <w:sz w:val="24"/>
          <w:szCs w:val="24"/>
        </w:rPr>
      </w:pPr>
      <w:r>
        <w:rPr>
          <w:rFonts w:hint="eastAsia" w:ascii="宋体" w:hAnsi="宋体"/>
          <w:kern w:val="2"/>
          <w:sz w:val="24"/>
          <w:szCs w:val="24"/>
        </w:rPr>
        <w:t>合同履行期限：</w:t>
      </w:r>
      <w:r>
        <w:rPr>
          <w:rFonts w:hint="eastAsia" w:ascii="宋体" w:hAnsi="宋体" w:cs="仿宋_GB2312"/>
          <w:kern w:val="2"/>
          <w:sz w:val="24"/>
          <w:szCs w:val="24"/>
        </w:rPr>
        <w:t>自收到采购人书面通知成交供应商开工之日起75天内完工。</w:t>
      </w:r>
    </w:p>
    <w:p>
      <w:pPr>
        <w:autoSpaceDE/>
        <w:autoSpaceDN/>
        <w:adjustRightInd/>
        <w:snapToGrid w:val="0"/>
        <w:spacing w:beforeLines="0" w:afterLines="0" w:line="360" w:lineRule="auto"/>
        <w:jc w:val="both"/>
        <w:rPr>
          <w:rFonts w:hint="eastAsia" w:ascii="宋体" w:hAnsi="宋体"/>
          <w:kern w:val="2"/>
          <w:sz w:val="24"/>
          <w:szCs w:val="24"/>
        </w:rPr>
      </w:pPr>
      <w:r>
        <w:rPr>
          <w:rFonts w:hint="eastAsia" w:ascii="宋体" w:hAnsi="宋体"/>
          <w:kern w:val="2"/>
          <w:sz w:val="24"/>
          <w:szCs w:val="24"/>
        </w:rPr>
        <w:t>本项目不接受联合体。</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bookmarkStart w:id="4" w:name="_Toc35393630"/>
      <w:bookmarkStart w:id="5" w:name="_Toc28359090"/>
      <w:bookmarkStart w:id="6" w:name="_Toc28359013"/>
      <w:bookmarkStart w:id="7" w:name="_Toc35393799"/>
      <w:r>
        <w:rPr>
          <w:rFonts w:hint="eastAsia" w:ascii="宋体" w:hAnsi="宋体"/>
          <w:b/>
          <w:kern w:val="2"/>
          <w:sz w:val="24"/>
          <w:szCs w:val="24"/>
        </w:rPr>
        <w:t>申请人的资格要求：</w:t>
      </w:r>
      <w:bookmarkEnd w:id="4"/>
      <w:bookmarkEnd w:id="5"/>
      <w:bookmarkEnd w:id="6"/>
      <w:bookmarkEnd w:id="7"/>
    </w:p>
    <w:p>
      <w:pPr>
        <w:numPr>
          <w:ilvl w:val="0"/>
          <w:numId w:val="4"/>
        </w:numPr>
        <w:autoSpaceDE/>
        <w:autoSpaceDN/>
        <w:adjustRightInd/>
        <w:snapToGrid w:val="0"/>
        <w:spacing w:beforeLines="0" w:afterLines="0" w:line="360" w:lineRule="auto"/>
        <w:jc w:val="both"/>
        <w:textAlignment w:val="baseline"/>
        <w:rPr>
          <w:rFonts w:hint="eastAsia" w:ascii="宋体" w:hAnsi="宋体" w:cs="仿宋_GB2312"/>
          <w:kern w:val="2"/>
          <w:sz w:val="24"/>
          <w:szCs w:val="24"/>
        </w:rPr>
      </w:pPr>
      <w:bookmarkStart w:id="8" w:name="_Toc28359091"/>
      <w:bookmarkStart w:id="9" w:name="_Toc28359014"/>
      <w:r>
        <w:rPr>
          <w:rFonts w:hint="eastAsia" w:ascii="宋体" w:hAnsi="宋体" w:cs="仿宋_GB2312"/>
          <w:kern w:val="2"/>
          <w:sz w:val="24"/>
          <w:szCs w:val="24"/>
        </w:rPr>
        <w:t>满足《中华人民共和国政府采购法》第二十二条规定；</w:t>
      </w:r>
    </w:p>
    <w:p>
      <w:pPr>
        <w:numPr>
          <w:ilvl w:val="0"/>
          <w:numId w:val="4"/>
        </w:numPr>
        <w:autoSpaceDE/>
        <w:autoSpaceDN/>
        <w:adjustRightInd/>
        <w:snapToGrid w:val="0"/>
        <w:spacing w:beforeLines="0" w:afterLines="0" w:line="360" w:lineRule="auto"/>
        <w:jc w:val="both"/>
        <w:textAlignment w:val="baseline"/>
        <w:rPr>
          <w:rFonts w:hint="eastAsia" w:ascii="宋体" w:hAnsi="宋体" w:cs="仿宋_GB2312"/>
          <w:kern w:val="2"/>
          <w:sz w:val="24"/>
          <w:szCs w:val="24"/>
        </w:rPr>
      </w:pPr>
      <w:r>
        <w:rPr>
          <w:rFonts w:hint="eastAsia" w:ascii="宋体" w:hAnsi="宋体"/>
          <w:kern w:val="2"/>
          <w:sz w:val="24"/>
          <w:szCs w:val="24"/>
        </w:rPr>
        <w:t>落实政府采购政策需满足的资格要求：</w:t>
      </w:r>
      <w:r>
        <w:rPr>
          <w:rFonts w:hint="eastAsia" w:ascii="宋体" w:hAnsi="宋体" w:cs="仿宋_GB2312"/>
          <w:kern w:val="2"/>
          <w:sz w:val="24"/>
          <w:szCs w:val="24"/>
        </w:rPr>
        <w:t>无。</w:t>
      </w:r>
    </w:p>
    <w:p>
      <w:pPr>
        <w:numPr>
          <w:ilvl w:val="0"/>
          <w:numId w:val="4"/>
        </w:numPr>
        <w:autoSpaceDE/>
        <w:autoSpaceDN/>
        <w:adjustRightInd/>
        <w:snapToGrid w:val="0"/>
        <w:spacing w:beforeLines="0" w:afterLines="0" w:line="360" w:lineRule="auto"/>
        <w:jc w:val="both"/>
        <w:textAlignment w:val="baseline"/>
        <w:rPr>
          <w:rFonts w:hint="eastAsia" w:ascii="宋体" w:hAnsi="宋体"/>
          <w:i/>
          <w:kern w:val="2"/>
          <w:sz w:val="24"/>
          <w:szCs w:val="24"/>
          <w:u w:val="single"/>
        </w:rPr>
      </w:pPr>
      <w:r>
        <w:rPr>
          <w:rFonts w:hint="eastAsia" w:ascii="宋体" w:hAnsi="宋体"/>
          <w:kern w:val="2"/>
          <w:sz w:val="24"/>
          <w:szCs w:val="24"/>
        </w:rPr>
        <w:t>本项目的特定资格要求：</w:t>
      </w:r>
    </w:p>
    <w:p>
      <w:pPr>
        <w:numPr>
          <w:ilvl w:val="0"/>
          <w:numId w:val="5"/>
        </w:numPr>
        <w:autoSpaceDE/>
        <w:autoSpaceDN/>
        <w:adjustRightInd/>
        <w:snapToGrid w:val="0"/>
        <w:spacing w:beforeLines="0" w:afterLines="0" w:line="360" w:lineRule="auto"/>
        <w:jc w:val="both"/>
        <w:textAlignment w:val="baseline"/>
        <w:rPr>
          <w:rFonts w:hint="eastAsia" w:ascii="宋体" w:hAnsi="宋体" w:cs="仿宋_GB2312"/>
          <w:kern w:val="2"/>
          <w:sz w:val="24"/>
          <w:szCs w:val="24"/>
        </w:rPr>
      </w:pPr>
      <w:r>
        <w:rPr>
          <w:rFonts w:hint="eastAsia" w:ascii="宋体" w:hAnsi="宋体"/>
          <w:sz w:val="24"/>
          <w:szCs w:val="21"/>
        </w:rPr>
        <w:t>具有建设主管部门颁发的有效的电力工程施工总承包叁级（或以上）或输变电工程专业承包叁级（或以上）资质或建筑机电安装工程专业承包贰级（或以上）资质。（提供证书复印件并加盖公章）</w:t>
      </w:r>
    </w:p>
    <w:p>
      <w:pPr>
        <w:numPr>
          <w:ilvl w:val="0"/>
          <w:numId w:val="5"/>
        </w:numPr>
        <w:autoSpaceDE/>
        <w:autoSpaceDN/>
        <w:adjustRightInd/>
        <w:snapToGrid w:val="0"/>
        <w:spacing w:beforeLines="0" w:afterLines="0" w:line="360" w:lineRule="auto"/>
        <w:jc w:val="both"/>
        <w:textAlignment w:val="baseline"/>
        <w:rPr>
          <w:rFonts w:hint="eastAsia" w:ascii="宋体" w:hAnsi="宋体"/>
          <w:i/>
          <w:kern w:val="2"/>
          <w:sz w:val="24"/>
          <w:szCs w:val="24"/>
          <w:u w:val="single"/>
        </w:rPr>
      </w:pPr>
      <w:r>
        <w:rPr>
          <w:rFonts w:hint="eastAsia" w:ascii="宋体" w:hAnsi="宋体"/>
          <w:sz w:val="24"/>
          <w:szCs w:val="21"/>
        </w:rPr>
        <w:t>须持有建设行政主管部门颁发有效的《安全生产许可证》。（提供证书复印件并加盖公章）</w:t>
      </w:r>
    </w:p>
    <w:p>
      <w:pPr>
        <w:numPr>
          <w:ilvl w:val="0"/>
          <w:numId w:val="5"/>
        </w:numPr>
        <w:autoSpaceDE/>
        <w:autoSpaceDN/>
        <w:adjustRightInd/>
        <w:snapToGrid w:val="0"/>
        <w:spacing w:beforeLines="0" w:afterLines="0" w:line="360" w:lineRule="auto"/>
        <w:jc w:val="both"/>
        <w:textAlignment w:val="baseline"/>
        <w:rPr>
          <w:rFonts w:hint="eastAsia" w:ascii="宋体" w:hAnsi="宋体"/>
          <w:sz w:val="24"/>
          <w:szCs w:val="21"/>
        </w:rPr>
      </w:pPr>
      <w:r>
        <w:rPr>
          <w:rFonts w:hint="eastAsia" w:ascii="宋体" w:hAnsi="宋体"/>
          <w:sz w:val="24"/>
          <w:szCs w:val="21"/>
        </w:rPr>
        <w:t>具有《承装（修、试）电力设施许可证》承装、承修、承试五级或以上许可证。（提供证书复印件并加盖公章）</w:t>
      </w:r>
    </w:p>
    <w:p>
      <w:pPr>
        <w:numPr>
          <w:ilvl w:val="0"/>
          <w:numId w:val="5"/>
        </w:numPr>
        <w:autoSpaceDE/>
        <w:autoSpaceDN/>
        <w:adjustRightInd/>
        <w:snapToGrid w:val="0"/>
        <w:spacing w:beforeLines="0" w:afterLines="0" w:line="360" w:lineRule="auto"/>
        <w:jc w:val="both"/>
        <w:textAlignment w:val="baseline"/>
        <w:rPr>
          <w:rFonts w:hint="eastAsia" w:ascii="宋体" w:hAnsi="宋体"/>
          <w:sz w:val="24"/>
          <w:szCs w:val="21"/>
        </w:rPr>
      </w:pPr>
      <w:r>
        <w:rPr>
          <w:rFonts w:hint="eastAsia" w:ascii="宋体" w:hAnsi="宋体"/>
          <w:sz w:val="24"/>
          <w:szCs w:val="21"/>
        </w:rPr>
        <w:t>拟任本工程的项目负责人具备机电工程专业贰级或以上注册建造师，项目负责人必须是本公司的正式员工，且未担任其他在施建设工程项目的项目负责人；拟任本工程的项目负责人持有项目负责人安全生产考核合格证(B类)或建筑施工企业项目负责人安全生产考核合格证书。(须提供注册证、安全生产考核证书扫描件、项目负责人未担任在施建设工程项目的项目负责人承诺书以及社保证明承诺书，格式自拟并加盖公章)</w:t>
      </w:r>
    </w:p>
    <w:p>
      <w:pPr>
        <w:autoSpaceDE/>
        <w:autoSpaceDN/>
        <w:adjustRightInd/>
        <w:snapToGrid w:val="0"/>
        <w:spacing w:beforeLines="0" w:afterLines="0" w:line="360" w:lineRule="auto"/>
        <w:ind w:firstLine="480" w:firstLineChars="200"/>
        <w:jc w:val="both"/>
        <w:textAlignment w:val="baseline"/>
        <w:rPr>
          <w:rFonts w:hint="eastAsia" w:ascii="宋体" w:hAnsi="宋体"/>
          <w:sz w:val="24"/>
          <w:szCs w:val="21"/>
        </w:rPr>
      </w:pPr>
      <w:r>
        <w:rPr>
          <w:rFonts w:hint="eastAsia" w:ascii="宋体" w:hAnsi="宋体"/>
          <w:sz w:val="24"/>
          <w:szCs w:val="21"/>
        </w:rPr>
        <w:t>注:根据《住房和城乡建设部办公厅关于全面实行一级建造师电子注册证书的通知》(建办市(2021)40号)及《广东省建设信息中心关于启用新版“广东省建设执业资格注册管理信息系统"的通知》，注册建造师打印电子证书后，电子证书上面的“有效期”和“使用有效期”均须在有效期内，同时，应在个人签名处手写本人签名，未在有效期内或者未手写签名或与签名图像笔迹不一致的，该电子证书无效。广东省外二级建造师注册证书电子证书样式无要求手写签名的除外。</w:t>
      </w:r>
    </w:p>
    <w:p>
      <w:pPr>
        <w:numPr>
          <w:ilvl w:val="0"/>
          <w:numId w:val="5"/>
        </w:numPr>
        <w:autoSpaceDE/>
        <w:autoSpaceDN/>
        <w:adjustRightInd/>
        <w:snapToGrid w:val="0"/>
        <w:spacing w:beforeLines="0" w:afterLines="0" w:line="360" w:lineRule="auto"/>
        <w:jc w:val="both"/>
        <w:textAlignment w:val="baseline"/>
        <w:rPr>
          <w:rFonts w:hint="eastAsia" w:ascii="宋体" w:hAnsi="宋体"/>
          <w:sz w:val="24"/>
          <w:szCs w:val="21"/>
        </w:rPr>
      </w:pPr>
      <w:r>
        <w:rPr>
          <w:rFonts w:hint="eastAsia" w:ascii="宋体" w:hAnsi="宋体"/>
          <w:sz w:val="24"/>
          <w:szCs w:val="21"/>
        </w:rPr>
        <w:t>专职安全员须具有安全生产考核合格证(C类)或建筑施工企业专职安全生产管理人员安全生产考核合格证书(C3类)(项目负责人在任职期间不得担任专职安全员，项目专职安全员在任职期间也不得担任项目负责人，项目负责人和安全员不为同一人)。(提供安全生产考核证书扫描件并加盖公章)</w:t>
      </w:r>
    </w:p>
    <w:p>
      <w:pPr>
        <w:autoSpaceDE/>
        <w:autoSpaceDN/>
        <w:adjustRightInd/>
        <w:snapToGrid w:val="0"/>
        <w:spacing w:beforeLines="0" w:afterLines="0" w:line="360" w:lineRule="auto"/>
        <w:ind w:left="-311" w:leftChars="-148"/>
        <w:jc w:val="both"/>
        <w:rPr>
          <w:rFonts w:hint="eastAsia" w:ascii="宋体" w:hAnsi="宋体"/>
          <w:kern w:val="2"/>
          <w:sz w:val="24"/>
          <w:szCs w:val="24"/>
        </w:rPr>
      </w:pPr>
      <w:r>
        <w:rPr>
          <w:rFonts w:hint="eastAsia" w:ascii="宋体" w:hAnsi="宋体"/>
          <w:kern w:val="2"/>
          <w:sz w:val="24"/>
          <w:szCs w:val="24"/>
        </w:rPr>
        <w:t xml:space="preserve">4. </w:t>
      </w:r>
      <w:r>
        <w:rPr>
          <w:rFonts w:hint="eastAsia" w:ascii="宋体" w:hAnsi="宋体" w:cs="仿宋_GB2312"/>
          <w:kern w:val="2"/>
          <w:sz w:val="24"/>
          <w:szCs w:val="24"/>
        </w:rPr>
        <w:t>满足以下规定：</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1"/>
        </w:rPr>
      </w:pPr>
      <w:r>
        <w:rPr>
          <w:rFonts w:hint="eastAsia" w:ascii="宋体" w:hAnsi="宋体"/>
          <w:kern w:val="2"/>
          <w:sz w:val="24"/>
          <w:szCs w:val="24"/>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kern w:val="2"/>
          <w:sz w:val="24"/>
          <w:szCs w:val="21"/>
        </w:rPr>
        <w:t>）</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提供2022年度财务状况报告或2023年至今任意1个月的财务状况报告复印件，或银行出具的资信证明材料复印件；</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提供2023年至今任意1个月缴纳税收和社会保障资金的凭据证明材料复印件；如依法免税或不需要缴纳社会保障资金的，应提供相关材料；</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提供履行合同所必需的设备和专业技术能力的证明材料；（提供《响应供应商资格声明函》）</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提供参加采购活动前3年内在经营活动中没有重大违法记录的书面声明；（提供《响应供应商资格声明函》）</w:t>
      </w:r>
    </w:p>
    <w:p>
      <w:pPr>
        <w:numPr>
          <w:ilvl w:val="0"/>
          <w:numId w:val="6"/>
        </w:numPr>
        <w:autoSpaceDE/>
        <w:autoSpaceDN/>
        <w:adjustRightInd/>
        <w:snapToGrid w:val="0"/>
        <w:spacing w:beforeLines="0" w:afterLines="0" w:line="360" w:lineRule="auto"/>
        <w:jc w:val="both"/>
        <w:textAlignment w:val="baseline"/>
        <w:rPr>
          <w:rFonts w:hint="eastAsia" w:ascii="宋体" w:hAnsi="宋体"/>
          <w:kern w:val="2"/>
          <w:sz w:val="24"/>
          <w:szCs w:val="24"/>
        </w:rPr>
      </w:pPr>
      <w:r>
        <w:rPr>
          <w:rFonts w:hint="eastAsia" w:ascii="宋体" w:hAnsi="宋体"/>
          <w:kern w:val="2"/>
          <w:sz w:val="24"/>
          <w:szCs w:val="24"/>
        </w:rPr>
        <w:t>法律、行政法规规定的其他条件。（提供《响应供应商资格声明函》）</w:t>
      </w:r>
    </w:p>
    <w:p>
      <w:pPr>
        <w:autoSpaceDE/>
        <w:autoSpaceDN/>
        <w:adjustRightInd/>
        <w:snapToGrid w:val="0"/>
        <w:spacing w:beforeLines="0" w:afterLines="0" w:line="360" w:lineRule="auto"/>
        <w:ind w:left="364" w:leftChars="2" w:hanging="360" w:hangingChars="150"/>
        <w:jc w:val="both"/>
        <w:rPr>
          <w:rFonts w:hint="eastAsia" w:ascii="宋体" w:hAnsi="宋体"/>
          <w:kern w:val="2"/>
          <w:sz w:val="24"/>
          <w:szCs w:val="24"/>
        </w:rPr>
      </w:pPr>
      <w:r>
        <w:rPr>
          <w:rFonts w:hint="eastAsia" w:ascii="宋体" w:hAnsi="宋体"/>
          <w:kern w:val="2"/>
          <w:sz w:val="24"/>
          <w:szCs w:val="24"/>
        </w:rPr>
        <w:t>5.为采购项目提供整体设计、规范编制或者项目管理、监理、检测等服务的供应商，不得再参加该采购项目同一合同项下的其他采购活动。（提供《响应供应商资格声明函》）</w:t>
      </w:r>
    </w:p>
    <w:p>
      <w:pPr>
        <w:autoSpaceDE/>
        <w:autoSpaceDN/>
        <w:adjustRightInd/>
        <w:snapToGrid w:val="0"/>
        <w:spacing w:beforeLines="0" w:afterLines="0" w:line="360" w:lineRule="auto"/>
        <w:ind w:left="364" w:leftChars="2" w:hanging="360" w:hangingChars="150"/>
        <w:jc w:val="both"/>
        <w:rPr>
          <w:rFonts w:hint="eastAsia" w:ascii="宋体" w:hAnsi="宋体"/>
          <w:kern w:val="2"/>
          <w:sz w:val="24"/>
          <w:szCs w:val="24"/>
        </w:rPr>
      </w:pPr>
      <w:r>
        <w:rPr>
          <w:rFonts w:hint="eastAsia" w:ascii="宋体" w:hAnsi="宋体"/>
          <w:kern w:val="2"/>
          <w:sz w:val="24"/>
          <w:szCs w:val="24"/>
        </w:rPr>
        <w:t>6.单位负责人为同一人或者存在直接控股、管理关系的不同供应商，不得参加同一合同项下的采购活动。（提供《响应供应商资格声明函》）</w:t>
      </w:r>
    </w:p>
    <w:p>
      <w:pPr>
        <w:autoSpaceDE/>
        <w:autoSpaceDN/>
        <w:adjustRightInd/>
        <w:snapToGrid w:val="0"/>
        <w:spacing w:beforeLines="0" w:afterLines="0" w:line="360" w:lineRule="auto"/>
        <w:ind w:left="364" w:leftChars="2" w:hanging="360" w:hangingChars="150"/>
        <w:jc w:val="both"/>
        <w:rPr>
          <w:rFonts w:hint="eastAsia" w:ascii="宋体" w:hAnsi="宋体"/>
          <w:kern w:val="2"/>
          <w:sz w:val="24"/>
          <w:szCs w:val="24"/>
        </w:rPr>
      </w:pPr>
      <w:r>
        <w:rPr>
          <w:rFonts w:hint="eastAsia" w:ascii="宋体" w:hAnsi="宋体"/>
          <w:kern w:val="2"/>
          <w:sz w:val="24"/>
          <w:szCs w:val="24"/>
        </w:rPr>
        <w:t>7.响应供应商未被列入“信用中国”网站(www.creditchina.gov.cn)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w:t>
      </w:r>
      <w:r>
        <w:rPr>
          <w:rFonts w:hint="eastAsia" w:ascii="宋体" w:hAnsi="宋体" w:cs="宋体"/>
          <w:kern w:val="2"/>
          <w:sz w:val="24"/>
          <w:szCs w:val="24"/>
        </w:rPr>
        <w:t>说明：①</w:t>
      </w:r>
      <w:r>
        <w:rPr>
          <w:rFonts w:hint="eastAsia" w:ascii="宋体" w:hAnsi="宋体"/>
          <w:kern w:val="2"/>
          <w:sz w:val="24"/>
          <w:szCs w:val="24"/>
        </w:rPr>
        <w:t>由采购人、采购代理机构于递交响应文件截止日在“信用中国”网站（www.creditchina.gov.cn）及中国政府采购网(www.ccgp.gov.cn)查询结果为准，</w:t>
      </w:r>
      <w:r>
        <w:rPr>
          <w:rFonts w:hint="eastAsia" w:ascii="宋体" w:hAnsi="宋体"/>
          <w:kern w:val="2"/>
          <w:sz w:val="24"/>
          <w:szCs w:val="24"/>
          <w:highlight w:val="white"/>
        </w:rPr>
        <w:t>如在上述网站查询结果均显示没有相关记录，视为不存在上述不良信用记录</w:t>
      </w:r>
      <w:r>
        <w:rPr>
          <w:rFonts w:hint="eastAsia" w:ascii="宋体" w:hAnsi="宋体"/>
          <w:kern w:val="2"/>
          <w:sz w:val="24"/>
          <w:szCs w:val="24"/>
        </w:rPr>
        <w:t>。</w:t>
      </w:r>
      <w:r>
        <w:rPr>
          <w:rFonts w:hint="eastAsia" w:ascii="宋体" w:hAnsi="宋体" w:cs="宋体"/>
          <w:kern w:val="2"/>
          <w:sz w:val="24"/>
          <w:szCs w:val="24"/>
        </w:rPr>
        <w:t>②同时对信用信息查询记录和证据截图或下载存档。③响应供应商为</w:t>
      </w:r>
      <w:r>
        <w:rPr>
          <w:rFonts w:hint="eastAsia" w:ascii="宋体" w:hAnsi="宋体" w:cs="宋体"/>
          <w:kern w:val="2"/>
          <w:sz w:val="24"/>
          <w:szCs w:val="21"/>
        </w:rPr>
        <w:t>分公司</w:t>
      </w:r>
      <w:r>
        <w:rPr>
          <w:rFonts w:hint="eastAsia" w:ascii="宋体" w:hAnsi="宋体" w:cs="宋体"/>
          <w:kern w:val="2"/>
          <w:sz w:val="24"/>
          <w:szCs w:val="24"/>
        </w:rPr>
        <w:t>的，同时对该</w:t>
      </w:r>
      <w:r>
        <w:rPr>
          <w:rFonts w:hint="eastAsia" w:ascii="宋体" w:hAnsi="宋体" w:cs="宋体"/>
          <w:kern w:val="2"/>
          <w:sz w:val="24"/>
          <w:szCs w:val="21"/>
        </w:rPr>
        <w:t>分公司</w:t>
      </w:r>
      <w:r>
        <w:rPr>
          <w:rFonts w:hint="eastAsia" w:ascii="宋体" w:hAnsi="宋体" w:cs="宋体"/>
          <w:kern w:val="2"/>
          <w:sz w:val="24"/>
          <w:szCs w:val="24"/>
        </w:rPr>
        <w:t>所属总公司（总所）进行信用记录查询，该</w:t>
      </w:r>
      <w:r>
        <w:rPr>
          <w:rFonts w:hint="eastAsia" w:ascii="宋体" w:hAnsi="宋体" w:cs="宋体"/>
          <w:kern w:val="2"/>
          <w:sz w:val="24"/>
          <w:szCs w:val="21"/>
        </w:rPr>
        <w:t>分公司</w:t>
      </w:r>
      <w:r>
        <w:rPr>
          <w:rFonts w:hint="eastAsia" w:ascii="宋体" w:hAnsi="宋体" w:cs="宋体"/>
          <w:kern w:val="2"/>
          <w:sz w:val="24"/>
          <w:szCs w:val="24"/>
        </w:rPr>
        <w:t>所属总公司（总所）存在不良信用记录的，视同响应供应商存在不良信用记录。）</w:t>
      </w:r>
    </w:p>
    <w:p>
      <w:pPr>
        <w:autoSpaceDE/>
        <w:autoSpaceDN/>
        <w:adjustRightInd/>
        <w:snapToGrid w:val="0"/>
        <w:spacing w:beforeLines="0" w:afterLines="0" w:line="360" w:lineRule="auto"/>
        <w:ind w:left="364" w:leftChars="2" w:hanging="360" w:hangingChars="150"/>
        <w:jc w:val="both"/>
        <w:rPr>
          <w:rFonts w:hint="eastAsia" w:ascii="宋体" w:hAnsi="宋体"/>
          <w:kern w:val="2"/>
          <w:sz w:val="24"/>
          <w:szCs w:val="24"/>
        </w:rPr>
      </w:pPr>
      <w:r>
        <w:rPr>
          <w:rFonts w:hint="eastAsia" w:ascii="宋体" w:hAnsi="宋体"/>
          <w:kern w:val="2"/>
          <w:sz w:val="24"/>
          <w:szCs w:val="24"/>
        </w:rPr>
        <w:t>8. 成功购买本磋商文件的供应商。</w:t>
      </w:r>
      <w:r>
        <w:rPr>
          <w:rFonts w:hint="eastAsia" w:ascii="宋体" w:hAnsi="宋体"/>
          <w:kern w:val="2"/>
          <w:sz w:val="24"/>
          <w:szCs w:val="21"/>
        </w:rPr>
        <w:t>（采购代理机构收到供应商缴纳的标书款，视为供应商已成功购买</w:t>
      </w:r>
      <w:r>
        <w:rPr>
          <w:rFonts w:hint="eastAsia" w:ascii="宋体" w:hAnsi="宋体"/>
          <w:kern w:val="2"/>
          <w:sz w:val="24"/>
          <w:szCs w:val="24"/>
        </w:rPr>
        <w:t>磋商</w:t>
      </w:r>
      <w:r>
        <w:rPr>
          <w:rFonts w:hint="eastAsia" w:ascii="宋体" w:hAnsi="宋体"/>
          <w:kern w:val="2"/>
          <w:sz w:val="24"/>
          <w:szCs w:val="21"/>
        </w:rPr>
        <w:t>文件，符合本条款规定）</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bookmarkStart w:id="10" w:name="_Toc35393631"/>
      <w:bookmarkStart w:id="11" w:name="_Toc35393800"/>
      <w:r>
        <w:rPr>
          <w:rFonts w:hint="eastAsia" w:ascii="宋体" w:hAnsi="宋体"/>
          <w:b/>
          <w:kern w:val="2"/>
          <w:sz w:val="24"/>
          <w:szCs w:val="24"/>
        </w:rPr>
        <w:t>获取采购文件</w:t>
      </w:r>
      <w:bookmarkEnd w:id="8"/>
      <w:bookmarkEnd w:id="9"/>
      <w:bookmarkEnd w:id="10"/>
      <w:bookmarkEnd w:id="11"/>
    </w:p>
    <w:p>
      <w:pPr>
        <w:autoSpaceDE/>
        <w:autoSpaceDN/>
        <w:adjustRightInd/>
        <w:snapToGrid w:val="0"/>
        <w:spacing w:beforeLines="0" w:afterLines="0" w:line="360" w:lineRule="auto"/>
        <w:jc w:val="both"/>
        <w:rPr>
          <w:rFonts w:hint="eastAsia" w:ascii="宋体" w:hAnsi="宋体" w:cs="宋体"/>
          <w:kern w:val="2"/>
          <w:sz w:val="24"/>
          <w:szCs w:val="24"/>
        </w:rPr>
      </w:pPr>
      <w:r>
        <w:rPr>
          <w:rFonts w:hint="eastAsia" w:ascii="宋体" w:hAnsi="宋体" w:cs="宋体"/>
          <w:color w:val="auto"/>
          <w:kern w:val="2"/>
          <w:sz w:val="24"/>
          <w:szCs w:val="24"/>
        </w:rPr>
        <w:t>时间：</w:t>
      </w:r>
      <w:r>
        <w:rPr>
          <w:rFonts w:hint="eastAsia" w:ascii="宋体" w:hAnsi="宋体" w:cs="宋体"/>
          <w:color w:val="auto"/>
          <w:kern w:val="2"/>
          <w:sz w:val="24"/>
          <w:szCs w:val="24"/>
          <w:u w:val="single"/>
          <w:lang w:val="en-US" w:eastAsia="zh-CN"/>
        </w:rPr>
        <w:t>2024</w:t>
      </w:r>
      <w:r>
        <w:rPr>
          <w:rFonts w:hint="eastAsia" w:ascii="宋体" w:hAnsi="宋体" w:cs="宋体"/>
          <w:color w:val="auto"/>
          <w:kern w:val="2"/>
          <w:sz w:val="24"/>
          <w:szCs w:val="24"/>
        </w:rPr>
        <w:t>年</w:t>
      </w:r>
      <w:r>
        <w:rPr>
          <w:rFonts w:hint="eastAsia" w:ascii="宋体" w:hAnsi="宋体" w:cs="宋体"/>
          <w:color w:val="auto"/>
          <w:kern w:val="2"/>
          <w:sz w:val="24"/>
          <w:szCs w:val="24"/>
          <w:u w:val="single"/>
          <w:lang w:val="en-US" w:eastAsia="zh-CN"/>
        </w:rPr>
        <w:t>1</w:t>
      </w:r>
      <w:r>
        <w:rPr>
          <w:rFonts w:hint="eastAsia" w:ascii="宋体" w:hAnsi="宋体" w:cs="宋体"/>
          <w:color w:val="auto"/>
          <w:kern w:val="2"/>
          <w:sz w:val="24"/>
          <w:szCs w:val="24"/>
        </w:rPr>
        <w:t>月</w:t>
      </w:r>
      <w:r>
        <w:rPr>
          <w:rFonts w:hint="eastAsia" w:ascii="宋体" w:hAnsi="宋体" w:cs="宋体"/>
          <w:color w:val="auto"/>
          <w:kern w:val="2"/>
          <w:sz w:val="24"/>
          <w:szCs w:val="24"/>
          <w:u w:val="single"/>
          <w:lang w:val="en-US" w:eastAsia="zh-CN"/>
        </w:rPr>
        <w:t>26</w:t>
      </w:r>
      <w:r>
        <w:rPr>
          <w:rFonts w:hint="eastAsia" w:ascii="宋体" w:hAnsi="宋体" w:cs="宋体"/>
          <w:color w:val="auto"/>
          <w:kern w:val="2"/>
          <w:sz w:val="24"/>
          <w:szCs w:val="24"/>
        </w:rPr>
        <w:t>日至</w:t>
      </w:r>
      <w:r>
        <w:rPr>
          <w:rFonts w:hint="eastAsia" w:ascii="宋体" w:hAnsi="宋体" w:cs="宋体"/>
          <w:color w:val="auto"/>
          <w:kern w:val="2"/>
          <w:sz w:val="24"/>
          <w:szCs w:val="24"/>
          <w:u w:val="single"/>
          <w:lang w:val="en-US" w:eastAsia="zh-CN"/>
        </w:rPr>
        <w:t>2024</w:t>
      </w:r>
      <w:r>
        <w:rPr>
          <w:rFonts w:hint="eastAsia" w:ascii="宋体" w:hAnsi="宋体" w:cs="宋体"/>
          <w:color w:val="auto"/>
          <w:kern w:val="2"/>
          <w:sz w:val="24"/>
          <w:szCs w:val="24"/>
        </w:rPr>
        <w:t>年</w:t>
      </w:r>
      <w:r>
        <w:rPr>
          <w:rFonts w:hint="eastAsia" w:ascii="宋体" w:hAnsi="宋体" w:cs="宋体"/>
          <w:color w:val="auto"/>
          <w:kern w:val="2"/>
          <w:sz w:val="24"/>
          <w:szCs w:val="24"/>
          <w:u w:val="single"/>
          <w:lang w:val="en-US" w:eastAsia="zh-CN"/>
        </w:rPr>
        <w:t>2</w:t>
      </w:r>
      <w:r>
        <w:rPr>
          <w:rFonts w:hint="eastAsia" w:ascii="宋体" w:hAnsi="宋体" w:cs="宋体"/>
          <w:color w:val="auto"/>
          <w:kern w:val="2"/>
          <w:sz w:val="24"/>
          <w:szCs w:val="24"/>
        </w:rPr>
        <w:t>月</w:t>
      </w:r>
      <w:r>
        <w:rPr>
          <w:rFonts w:hint="eastAsia" w:ascii="宋体" w:hAnsi="宋体" w:cs="宋体"/>
          <w:color w:val="auto"/>
          <w:kern w:val="2"/>
          <w:sz w:val="24"/>
          <w:szCs w:val="24"/>
          <w:u w:val="single"/>
          <w:lang w:val="en-US" w:eastAsia="zh-CN"/>
        </w:rPr>
        <w:t>2</w:t>
      </w:r>
      <w:r>
        <w:rPr>
          <w:rFonts w:hint="eastAsia" w:ascii="宋体" w:hAnsi="宋体" w:cs="宋体"/>
          <w:color w:val="auto"/>
          <w:kern w:val="2"/>
          <w:sz w:val="24"/>
          <w:szCs w:val="24"/>
        </w:rPr>
        <w:t>日（磋商文件的发</w:t>
      </w:r>
      <w:r>
        <w:rPr>
          <w:rFonts w:hint="eastAsia" w:ascii="宋体" w:hAnsi="宋体" w:cs="宋体"/>
          <w:kern w:val="2"/>
          <w:sz w:val="24"/>
          <w:szCs w:val="24"/>
        </w:rPr>
        <w:t>售期限自开始之日起不得少于5个工作日），每天上午</w:t>
      </w:r>
      <w:r>
        <w:rPr>
          <w:rFonts w:hint="eastAsia" w:ascii="宋体" w:hAnsi="宋体" w:cs="宋体"/>
          <w:kern w:val="2"/>
          <w:sz w:val="24"/>
          <w:szCs w:val="24"/>
          <w:u w:val="single"/>
        </w:rPr>
        <w:t>09:00</w:t>
      </w:r>
      <w:r>
        <w:rPr>
          <w:rFonts w:hint="eastAsia" w:ascii="宋体" w:hAnsi="宋体" w:cs="宋体"/>
          <w:kern w:val="2"/>
          <w:sz w:val="24"/>
          <w:szCs w:val="24"/>
        </w:rPr>
        <w:t>至</w:t>
      </w:r>
      <w:r>
        <w:rPr>
          <w:rFonts w:hint="eastAsia" w:ascii="宋体" w:hAnsi="宋体" w:cs="宋体"/>
          <w:kern w:val="2"/>
          <w:sz w:val="24"/>
          <w:szCs w:val="24"/>
          <w:u w:val="single"/>
        </w:rPr>
        <w:t>12:00</w:t>
      </w:r>
      <w:r>
        <w:rPr>
          <w:rFonts w:hint="eastAsia" w:ascii="宋体" w:hAnsi="宋体" w:cs="宋体"/>
          <w:kern w:val="2"/>
          <w:sz w:val="24"/>
          <w:szCs w:val="24"/>
        </w:rPr>
        <w:t>，下午</w:t>
      </w:r>
      <w:r>
        <w:rPr>
          <w:rFonts w:hint="eastAsia" w:ascii="宋体" w:hAnsi="宋体" w:cs="宋体"/>
          <w:kern w:val="2"/>
          <w:sz w:val="24"/>
          <w:szCs w:val="24"/>
          <w:u w:val="single"/>
        </w:rPr>
        <w:t>14:30</w:t>
      </w:r>
      <w:r>
        <w:rPr>
          <w:rFonts w:hint="eastAsia" w:ascii="宋体" w:hAnsi="宋体" w:cs="宋体"/>
          <w:kern w:val="2"/>
          <w:sz w:val="24"/>
          <w:szCs w:val="24"/>
        </w:rPr>
        <w:t>至</w:t>
      </w:r>
      <w:r>
        <w:rPr>
          <w:rFonts w:hint="eastAsia" w:ascii="宋体" w:hAnsi="宋体" w:cs="宋体"/>
          <w:kern w:val="2"/>
          <w:sz w:val="24"/>
          <w:szCs w:val="24"/>
          <w:u w:val="single"/>
        </w:rPr>
        <w:t>17:30</w:t>
      </w:r>
      <w:r>
        <w:rPr>
          <w:rFonts w:hint="eastAsia" w:ascii="宋体" w:hAnsi="宋体" w:cs="宋体"/>
          <w:kern w:val="2"/>
          <w:sz w:val="24"/>
          <w:szCs w:val="24"/>
        </w:rPr>
        <w:t>（北京时间，法定节假日除外）</w:t>
      </w:r>
    </w:p>
    <w:p>
      <w:pPr>
        <w:autoSpaceDE/>
        <w:autoSpaceDN/>
        <w:adjustRightInd/>
        <w:snapToGrid w:val="0"/>
        <w:spacing w:beforeLines="0" w:afterLines="0" w:line="360" w:lineRule="auto"/>
        <w:jc w:val="both"/>
        <w:rPr>
          <w:rFonts w:hint="eastAsia" w:ascii="宋体" w:hAnsi="宋体" w:cs="宋体"/>
          <w:kern w:val="2"/>
          <w:sz w:val="24"/>
          <w:szCs w:val="24"/>
          <w:u w:val="single"/>
        </w:rPr>
      </w:pPr>
      <w:r>
        <w:rPr>
          <w:rFonts w:hint="eastAsia" w:ascii="宋体" w:hAnsi="宋体" w:cs="宋体"/>
          <w:kern w:val="2"/>
          <w:sz w:val="24"/>
          <w:szCs w:val="24"/>
        </w:rPr>
        <w:t>地点：</w:t>
      </w:r>
      <w:r>
        <w:rPr>
          <w:rFonts w:hint="eastAsia" w:ascii="宋体" w:hAnsi="宋体"/>
          <w:kern w:val="2"/>
          <w:sz w:val="24"/>
          <w:szCs w:val="24"/>
          <w:u w:val="single"/>
        </w:rPr>
        <w:t>广州市环市东路472号粤海大厦7楼</w:t>
      </w:r>
    </w:p>
    <w:p>
      <w:pPr>
        <w:autoSpaceDE/>
        <w:autoSpaceDN/>
        <w:adjustRightInd/>
        <w:snapToGrid w:val="0"/>
        <w:spacing w:beforeLines="0" w:afterLines="0" w:line="360" w:lineRule="auto"/>
        <w:jc w:val="both"/>
        <w:rPr>
          <w:rFonts w:hint="eastAsia" w:ascii="宋体" w:hAnsi="宋体" w:cs="宋体"/>
          <w:color w:val="000000"/>
          <w:kern w:val="2"/>
          <w:sz w:val="24"/>
          <w:szCs w:val="24"/>
        </w:rPr>
      </w:pPr>
      <w:r>
        <w:rPr>
          <w:rFonts w:hint="eastAsia" w:ascii="宋体" w:hAnsi="宋体" w:cs="宋体"/>
          <w:kern w:val="2"/>
          <w:sz w:val="24"/>
          <w:szCs w:val="24"/>
        </w:rPr>
        <w:t>方式：详见“七、其他补充事宜”</w:t>
      </w:r>
    </w:p>
    <w:p>
      <w:pPr>
        <w:autoSpaceDE/>
        <w:autoSpaceDN/>
        <w:adjustRightInd/>
        <w:snapToGrid w:val="0"/>
        <w:spacing w:beforeLines="0" w:afterLines="0" w:line="360" w:lineRule="auto"/>
        <w:jc w:val="both"/>
        <w:rPr>
          <w:rFonts w:hint="eastAsia" w:ascii="宋体" w:hAnsi="宋体" w:eastAsia="宋体" w:cs="宋体"/>
          <w:kern w:val="2"/>
          <w:sz w:val="24"/>
          <w:szCs w:val="24"/>
          <w:lang w:eastAsia="zh-CN"/>
        </w:rPr>
      </w:pPr>
      <w:r>
        <w:rPr>
          <w:rFonts w:hint="eastAsia" w:ascii="宋体" w:hAnsi="宋体" w:cs="宋体"/>
          <w:kern w:val="2"/>
          <w:sz w:val="24"/>
          <w:szCs w:val="24"/>
        </w:rPr>
        <w:t>售价（元）：</w:t>
      </w:r>
      <w:r>
        <w:rPr>
          <w:rFonts w:hint="eastAsia" w:ascii="宋体" w:hAnsi="宋体" w:cs="宋体"/>
          <w:kern w:val="2"/>
          <w:sz w:val="24"/>
          <w:szCs w:val="24"/>
          <w:u w:val="single"/>
          <w:lang w:val="en-US" w:eastAsia="zh-CN"/>
        </w:rPr>
        <w:t>0</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bookmarkStart w:id="12" w:name="_Toc28359092"/>
      <w:bookmarkStart w:id="13" w:name="_Toc35393632"/>
      <w:bookmarkStart w:id="14" w:name="_Toc35393801"/>
      <w:bookmarkStart w:id="15" w:name="_Toc28359015"/>
      <w:r>
        <w:rPr>
          <w:rFonts w:hint="eastAsia" w:ascii="宋体" w:hAnsi="宋体"/>
          <w:b/>
          <w:kern w:val="2"/>
          <w:sz w:val="24"/>
          <w:szCs w:val="24"/>
        </w:rPr>
        <w:t>响应文件提交</w:t>
      </w:r>
      <w:bookmarkEnd w:id="12"/>
      <w:bookmarkEnd w:id="13"/>
      <w:bookmarkEnd w:id="14"/>
      <w:bookmarkEnd w:id="15"/>
    </w:p>
    <w:p>
      <w:pPr>
        <w:autoSpaceDE/>
        <w:autoSpaceDN/>
        <w:adjustRightInd/>
        <w:snapToGrid w:val="0"/>
        <w:spacing w:beforeLines="0" w:afterLines="0" w:line="360" w:lineRule="auto"/>
        <w:jc w:val="both"/>
        <w:rPr>
          <w:rFonts w:hint="eastAsia" w:ascii="宋体" w:hAnsi="宋体"/>
          <w:color w:val="auto"/>
          <w:kern w:val="2"/>
          <w:sz w:val="24"/>
          <w:szCs w:val="24"/>
          <w:u w:val="single"/>
        </w:rPr>
      </w:pPr>
      <w:r>
        <w:rPr>
          <w:rFonts w:hint="eastAsia" w:ascii="宋体" w:hAnsi="宋体"/>
          <w:color w:val="auto"/>
          <w:kern w:val="2"/>
          <w:sz w:val="24"/>
          <w:szCs w:val="24"/>
        </w:rPr>
        <w:t>截止时间：</w:t>
      </w:r>
      <w:r>
        <w:rPr>
          <w:rFonts w:hint="eastAsia" w:ascii="宋体" w:hAnsi="宋体" w:cs="宋体"/>
          <w:color w:val="auto"/>
          <w:kern w:val="2"/>
          <w:sz w:val="24"/>
          <w:szCs w:val="24"/>
          <w:u w:val="single"/>
        </w:rPr>
        <w:t>2024</w:t>
      </w:r>
      <w:r>
        <w:rPr>
          <w:rFonts w:hint="eastAsia" w:ascii="宋体" w:hAnsi="宋体" w:cs="宋体"/>
          <w:color w:val="auto"/>
          <w:kern w:val="2"/>
          <w:sz w:val="24"/>
          <w:szCs w:val="24"/>
        </w:rPr>
        <w:t>年</w:t>
      </w:r>
      <w:r>
        <w:rPr>
          <w:rFonts w:hint="eastAsia" w:ascii="宋体" w:hAnsi="宋体" w:cs="宋体"/>
          <w:color w:val="auto"/>
          <w:kern w:val="2"/>
          <w:sz w:val="24"/>
          <w:szCs w:val="24"/>
          <w:u w:val="single"/>
        </w:rPr>
        <w:t>2</w:t>
      </w:r>
      <w:r>
        <w:rPr>
          <w:rFonts w:hint="eastAsia" w:ascii="宋体" w:hAnsi="宋体" w:cs="宋体"/>
          <w:color w:val="auto"/>
          <w:kern w:val="2"/>
          <w:sz w:val="24"/>
          <w:szCs w:val="24"/>
        </w:rPr>
        <w:t>月</w:t>
      </w:r>
      <w:r>
        <w:rPr>
          <w:rFonts w:hint="eastAsia" w:ascii="宋体" w:hAnsi="宋体" w:cs="宋体"/>
          <w:color w:val="auto"/>
          <w:kern w:val="2"/>
          <w:sz w:val="24"/>
          <w:szCs w:val="24"/>
          <w:u w:val="single"/>
        </w:rPr>
        <w:t>7</w:t>
      </w:r>
      <w:r>
        <w:rPr>
          <w:rFonts w:hint="eastAsia" w:ascii="宋体" w:hAnsi="宋体" w:cs="宋体"/>
          <w:color w:val="auto"/>
          <w:kern w:val="2"/>
          <w:sz w:val="24"/>
          <w:szCs w:val="24"/>
        </w:rPr>
        <w:t>日</w:t>
      </w:r>
      <w:r>
        <w:rPr>
          <w:rFonts w:hint="eastAsia" w:ascii="宋体" w:hAnsi="宋体" w:cs="宋体"/>
          <w:color w:val="auto"/>
          <w:kern w:val="2"/>
          <w:sz w:val="24"/>
          <w:szCs w:val="24"/>
          <w:u w:val="single"/>
        </w:rPr>
        <w:t>9</w:t>
      </w:r>
      <w:r>
        <w:rPr>
          <w:rFonts w:hint="eastAsia" w:ascii="宋体" w:hAnsi="宋体" w:cs="宋体"/>
          <w:color w:val="auto"/>
          <w:kern w:val="2"/>
          <w:sz w:val="24"/>
          <w:szCs w:val="24"/>
        </w:rPr>
        <w:t>点</w:t>
      </w:r>
      <w:r>
        <w:rPr>
          <w:rFonts w:hint="eastAsia" w:ascii="宋体" w:hAnsi="宋体" w:cs="宋体"/>
          <w:color w:val="auto"/>
          <w:kern w:val="2"/>
          <w:sz w:val="24"/>
          <w:szCs w:val="24"/>
          <w:u w:val="single"/>
        </w:rPr>
        <w:t>30</w:t>
      </w:r>
      <w:r>
        <w:rPr>
          <w:rFonts w:hint="eastAsia" w:ascii="宋体" w:hAnsi="宋体" w:cs="宋体"/>
          <w:color w:val="auto"/>
          <w:kern w:val="2"/>
          <w:sz w:val="24"/>
          <w:szCs w:val="24"/>
        </w:rPr>
        <w:t>分</w:t>
      </w:r>
      <w:r>
        <w:rPr>
          <w:rFonts w:hint="eastAsia" w:ascii="宋体" w:hAnsi="宋体"/>
          <w:color w:val="auto"/>
          <w:kern w:val="2"/>
          <w:sz w:val="24"/>
          <w:szCs w:val="24"/>
        </w:rPr>
        <w:t>（北京时间）</w:t>
      </w:r>
      <w:r>
        <w:rPr>
          <w:rFonts w:hint="eastAsia" w:ascii="宋体" w:hAnsi="宋体" w:cs="宋体"/>
          <w:color w:val="auto"/>
          <w:kern w:val="2"/>
          <w:sz w:val="24"/>
          <w:szCs w:val="24"/>
        </w:rPr>
        <w:t>（从磋商文件开始发出之日起至供应商提交首次响应文件截止之日止不得少于10日）</w:t>
      </w:r>
    </w:p>
    <w:p>
      <w:pPr>
        <w:autoSpaceDE/>
        <w:autoSpaceDN/>
        <w:adjustRightInd/>
        <w:snapToGrid w:val="0"/>
        <w:spacing w:beforeLines="0" w:afterLines="0" w:line="360" w:lineRule="auto"/>
        <w:jc w:val="both"/>
        <w:rPr>
          <w:rFonts w:hint="eastAsia" w:ascii="宋体" w:hAnsi="宋体"/>
          <w:color w:val="auto"/>
          <w:kern w:val="2"/>
          <w:sz w:val="24"/>
          <w:szCs w:val="24"/>
          <w:u w:val="single"/>
        </w:rPr>
      </w:pPr>
      <w:r>
        <w:rPr>
          <w:rFonts w:hint="eastAsia" w:ascii="宋体" w:hAnsi="宋体"/>
          <w:color w:val="auto"/>
          <w:kern w:val="2"/>
          <w:sz w:val="24"/>
          <w:szCs w:val="24"/>
        </w:rPr>
        <w:t>地点：</w:t>
      </w:r>
      <w:r>
        <w:rPr>
          <w:rFonts w:hint="eastAsia" w:ascii="宋体" w:hAnsi="宋体"/>
          <w:color w:val="auto"/>
          <w:kern w:val="2"/>
          <w:sz w:val="24"/>
          <w:szCs w:val="24"/>
          <w:u w:val="single"/>
        </w:rPr>
        <w:t>广州市环市东路472号粤海大厦7楼会议室</w:t>
      </w:r>
    </w:p>
    <w:p>
      <w:pPr>
        <w:numPr>
          <w:ilvl w:val="0"/>
          <w:numId w:val="1"/>
        </w:numPr>
        <w:autoSpaceDE/>
        <w:autoSpaceDN/>
        <w:adjustRightInd/>
        <w:snapToGrid w:val="0"/>
        <w:spacing w:beforeLines="0" w:afterLines="0" w:line="360" w:lineRule="auto"/>
        <w:ind w:hanging="279"/>
        <w:jc w:val="both"/>
        <w:rPr>
          <w:rFonts w:hint="eastAsia" w:ascii="宋体" w:hAnsi="宋体"/>
          <w:b/>
          <w:color w:val="auto"/>
          <w:kern w:val="2"/>
          <w:sz w:val="24"/>
          <w:szCs w:val="24"/>
        </w:rPr>
      </w:pPr>
      <w:bookmarkStart w:id="16" w:name="_Toc35393802"/>
      <w:bookmarkStart w:id="17" w:name="_Toc35393633"/>
      <w:bookmarkStart w:id="18" w:name="_Toc28359016"/>
      <w:bookmarkStart w:id="19" w:name="_Toc28359093"/>
      <w:r>
        <w:rPr>
          <w:rFonts w:hint="eastAsia" w:ascii="宋体" w:hAnsi="宋体"/>
          <w:b/>
          <w:color w:val="auto"/>
          <w:kern w:val="2"/>
          <w:sz w:val="24"/>
          <w:szCs w:val="24"/>
        </w:rPr>
        <w:t>开启</w:t>
      </w:r>
      <w:bookmarkEnd w:id="16"/>
      <w:bookmarkEnd w:id="17"/>
      <w:bookmarkEnd w:id="18"/>
      <w:bookmarkEnd w:id="19"/>
    </w:p>
    <w:p>
      <w:pPr>
        <w:numPr>
          <w:ilvl w:val="0"/>
          <w:numId w:val="7"/>
        </w:numPr>
        <w:autoSpaceDE/>
        <w:autoSpaceDN/>
        <w:adjustRightInd/>
        <w:snapToGrid w:val="0"/>
        <w:spacing w:beforeLines="0" w:afterLines="0" w:line="360" w:lineRule="auto"/>
        <w:ind w:left="567" w:hanging="567"/>
        <w:jc w:val="both"/>
        <w:textAlignment w:val="baseline"/>
        <w:rPr>
          <w:rFonts w:hint="eastAsia" w:ascii="宋体" w:hAnsi="宋体"/>
          <w:color w:val="auto"/>
          <w:kern w:val="2"/>
          <w:sz w:val="24"/>
          <w:szCs w:val="24"/>
          <w:u w:val="single"/>
        </w:rPr>
      </w:pPr>
      <w:r>
        <w:rPr>
          <w:rFonts w:hint="eastAsia" w:ascii="宋体" w:hAnsi="宋体"/>
          <w:color w:val="auto"/>
          <w:kern w:val="2"/>
          <w:sz w:val="24"/>
          <w:szCs w:val="24"/>
        </w:rPr>
        <w:t>时间：</w:t>
      </w:r>
      <w:r>
        <w:rPr>
          <w:rFonts w:hint="eastAsia" w:ascii="宋体" w:hAnsi="宋体" w:cs="宋体"/>
          <w:color w:val="auto"/>
          <w:kern w:val="2"/>
          <w:sz w:val="24"/>
          <w:szCs w:val="24"/>
          <w:u w:val="single"/>
        </w:rPr>
        <w:t>2024</w:t>
      </w:r>
      <w:r>
        <w:rPr>
          <w:rFonts w:hint="eastAsia" w:ascii="宋体" w:hAnsi="宋体" w:cs="宋体"/>
          <w:color w:val="auto"/>
          <w:kern w:val="2"/>
          <w:sz w:val="24"/>
          <w:szCs w:val="24"/>
        </w:rPr>
        <w:t>年</w:t>
      </w:r>
      <w:r>
        <w:rPr>
          <w:rFonts w:hint="eastAsia" w:ascii="宋体" w:hAnsi="宋体" w:cs="宋体"/>
          <w:color w:val="auto"/>
          <w:kern w:val="2"/>
          <w:sz w:val="24"/>
          <w:szCs w:val="24"/>
          <w:u w:val="single"/>
        </w:rPr>
        <w:t>2</w:t>
      </w:r>
      <w:r>
        <w:rPr>
          <w:rFonts w:hint="eastAsia" w:ascii="宋体" w:hAnsi="宋体" w:cs="宋体"/>
          <w:color w:val="auto"/>
          <w:kern w:val="2"/>
          <w:sz w:val="24"/>
          <w:szCs w:val="24"/>
        </w:rPr>
        <w:t>月</w:t>
      </w:r>
      <w:r>
        <w:rPr>
          <w:rFonts w:hint="eastAsia" w:ascii="宋体" w:hAnsi="宋体" w:cs="宋体"/>
          <w:color w:val="auto"/>
          <w:kern w:val="2"/>
          <w:sz w:val="24"/>
          <w:szCs w:val="24"/>
          <w:u w:val="single"/>
        </w:rPr>
        <w:t>7</w:t>
      </w:r>
      <w:r>
        <w:rPr>
          <w:rFonts w:hint="eastAsia" w:ascii="宋体" w:hAnsi="宋体" w:cs="宋体"/>
          <w:color w:val="auto"/>
          <w:kern w:val="2"/>
          <w:sz w:val="24"/>
          <w:szCs w:val="24"/>
        </w:rPr>
        <w:t>日</w:t>
      </w:r>
      <w:r>
        <w:rPr>
          <w:rFonts w:hint="eastAsia" w:ascii="宋体" w:hAnsi="宋体" w:cs="宋体"/>
          <w:color w:val="auto"/>
          <w:kern w:val="2"/>
          <w:sz w:val="24"/>
          <w:szCs w:val="24"/>
          <w:u w:val="single"/>
        </w:rPr>
        <w:t>9</w:t>
      </w:r>
      <w:r>
        <w:rPr>
          <w:rFonts w:hint="eastAsia" w:ascii="宋体" w:hAnsi="宋体" w:cs="宋体"/>
          <w:color w:val="auto"/>
          <w:kern w:val="2"/>
          <w:sz w:val="24"/>
          <w:szCs w:val="24"/>
        </w:rPr>
        <w:t>点</w:t>
      </w:r>
      <w:r>
        <w:rPr>
          <w:rFonts w:hint="eastAsia" w:ascii="宋体" w:hAnsi="宋体" w:cs="宋体"/>
          <w:color w:val="auto"/>
          <w:kern w:val="2"/>
          <w:sz w:val="24"/>
          <w:szCs w:val="24"/>
          <w:u w:val="single"/>
        </w:rPr>
        <w:t>30</w:t>
      </w:r>
      <w:r>
        <w:rPr>
          <w:rFonts w:hint="eastAsia" w:ascii="宋体" w:hAnsi="宋体" w:cs="宋体"/>
          <w:color w:val="auto"/>
          <w:kern w:val="2"/>
          <w:sz w:val="24"/>
          <w:szCs w:val="24"/>
        </w:rPr>
        <w:t>分</w:t>
      </w:r>
      <w:r>
        <w:rPr>
          <w:rFonts w:hint="eastAsia" w:ascii="宋体" w:hAnsi="宋体"/>
          <w:color w:val="auto"/>
          <w:kern w:val="2"/>
          <w:sz w:val="24"/>
          <w:szCs w:val="24"/>
        </w:rPr>
        <w:t>（北京时间）</w:t>
      </w:r>
    </w:p>
    <w:p>
      <w:pPr>
        <w:numPr>
          <w:ilvl w:val="0"/>
          <w:numId w:val="7"/>
        </w:numPr>
        <w:autoSpaceDE/>
        <w:autoSpaceDN/>
        <w:adjustRightInd/>
        <w:snapToGrid w:val="0"/>
        <w:spacing w:beforeLines="0" w:afterLines="0" w:line="360" w:lineRule="auto"/>
        <w:ind w:left="567" w:hanging="567"/>
        <w:jc w:val="both"/>
        <w:textAlignment w:val="baseline"/>
        <w:rPr>
          <w:rFonts w:hint="eastAsia" w:ascii="宋体" w:hAnsi="宋体"/>
          <w:kern w:val="2"/>
          <w:sz w:val="24"/>
          <w:szCs w:val="24"/>
          <w:u w:val="single"/>
        </w:rPr>
      </w:pPr>
      <w:r>
        <w:rPr>
          <w:rFonts w:hint="eastAsia" w:ascii="宋体" w:hAnsi="宋体"/>
          <w:kern w:val="2"/>
          <w:sz w:val="24"/>
          <w:szCs w:val="24"/>
        </w:rPr>
        <w:t>地点：</w:t>
      </w:r>
      <w:r>
        <w:rPr>
          <w:rFonts w:hint="eastAsia" w:ascii="宋体" w:hAnsi="宋体"/>
          <w:kern w:val="2"/>
          <w:sz w:val="24"/>
          <w:szCs w:val="24"/>
          <w:u w:val="single"/>
        </w:rPr>
        <w:t>广州市环市东路472号粤海大厦7楼会议室</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bookmarkStart w:id="20" w:name="_Toc28359094"/>
      <w:bookmarkStart w:id="21" w:name="_Toc35393803"/>
      <w:bookmarkStart w:id="22" w:name="_Toc35393634"/>
      <w:bookmarkStart w:id="23" w:name="_Toc28359017"/>
      <w:r>
        <w:rPr>
          <w:rFonts w:hint="eastAsia" w:ascii="宋体" w:hAnsi="宋体"/>
          <w:b/>
          <w:kern w:val="2"/>
          <w:sz w:val="24"/>
          <w:szCs w:val="24"/>
        </w:rPr>
        <w:t>公告期限</w:t>
      </w:r>
      <w:bookmarkEnd w:id="20"/>
      <w:bookmarkEnd w:id="21"/>
      <w:bookmarkEnd w:id="22"/>
      <w:bookmarkEnd w:id="23"/>
    </w:p>
    <w:p>
      <w:pPr>
        <w:autoSpaceDE/>
        <w:autoSpaceDN/>
        <w:adjustRightInd/>
        <w:snapToGrid w:val="0"/>
        <w:spacing w:beforeLines="0" w:afterLines="0" w:line="360" w:lineRule="auto"/>
        <w:ind w:firstLine="480" w:firstLineChars="200"/>
        <w:jc w:val="both"/>
        <w:rPr>
          <w:rFonts w:hint="eastAsia" w:ascii="宋体" w:hAnsi="宋体" w:cs="宋体"/>
          <w:sz w:val="24"/>
          <w:szCs w:val="24"/>
        </w:rPr>
      </w:pPr>
      <w:r>
        <w:rPr>
          <w:rFonts w:hint="eastAsia" w:ascii="宋体" w:hAnsi="宋体" w:cs="宋体"/>
          <w:sz w:val="24"/>
          <w:szCs w:val="24"/>
        </w:rPr>
        <w:t>自本公告发布之日起3个工作</w:t>
      </w:r>
      <w:r>
        <w:rPr>
          <w:rFonts w:hint="eastAsia" w:ascii="宋体" w:hAnsi="宋体" w:cs="宋体"/>
          <w:color w:val="auto"/>
          <w:sz w:val="24"/>
          <w:szCs w:val="24"/>
        </w:rPr>
        <w:t>日。</w:t>
      </w:r>
      <w:r>
        <w:rPr>
          <w:rFonts w:hint="eastAsia" w:ascii="宋体" w:hAnsi="宋体" w:cs="仿宋_GB2312"/>
          <w:color w:val="auto"/>
          <w:kern w:val="2"/>
          <w:sz w:val="24"/>
          <w:szCs w:val="24"/>
        </w:rPr>
        <w:t>自</w:t>
      </w:r>
      <w:r>
        <w:rPr>
          <w:rFonts w:hint="eastAsia" w:ascii="宋体" w:hAnsi="宋体" w:cs="仿宋_GB2312"/>
          <w:color w:val="auto"/>
          <w:kern w:val="2"/>
          <w:sz w:val="24"/>
          <w:szCs w:val="24"/>
          <w:u w:val="single"/>
          <w:lang w:val="en-US" w:eastAsia="zh-CN"/>
        </w:rPr>
        <w:t>2024</w:t>
      </w:r>
      <w:r>
        <w:rPr>
          <w:rFonts w:hint="eastAsia" w:ascii="宋体" w:hAnsi="宋体" w:cs="仿宋_GB2312"/>
          <w:color w:val="auto"/>
          <w:kern w:val="2"/>
          <w:sz w:val="24"/>
          <w:szCs w:val="24"/>
        </w:rPr>
        <w:t>年</w:t>
      </w:r>
      <w:r>
        <w:rPr>
          <w:rFonts w:hint="eastAsia" w:ascii="宋体" w:hAnsi="宋体" w:cs="仿宋_GB2312"/>
          <w:color w:val="auto"/>
          <w:kern w:val="2"/>
          <w:sz w:val="24"/>
          <w:szCs w:val="24"/>
          <w:u w:val="single"/>
          <w:lang w:val="en-US" w:eastAsia="zh-CN"/>
        </w:rPr>
        <w:t>1</w:t>
      </w:r>
      <w:r>
        <w:rPr>
          <w:rFonts w:hint="eastAsia" w:ascii="宋体" w:hAnsi="宋体" w:cs="仿宋_GB2312"/>
          <w:color w:val="auto"/>
          <w:kern w:val="2"/>
          <w:sz w:val="24"/>
          <w:szCs w:val="24"/>
        </w:rPr>
        <w:t>月</w:t>
      </w:r>
      <w:r>
        <w:rPr>
          <w:rFonts w:hint="eastAsia" w:ascii="宋体" w:hAnsi="宋体" w:cs="仿宋_GB2312"/>
          <w:color w:val="auto"/>
          <w:kern w:val="2"/>
          <w:sz w:val="24"/>
          <w:szCs w:val="24"/>
          <w:u w:val="single"/>
          <w:lang w:val="en-US" w:eastAsia="zh-CN"/>
        </w:rPr>
        <w:t>26</w:t>
      </w:r>
      <w:r>
        <w:rPr>
          <w:rFonts w:hint="eastAsia" w:ascii="宋体" w:hAnsi="宋体" w:cs="仿宋_GB2312"/>
          <w:color w:val="auto"/>
          <w:kern w:val="2"/>
          <w:sz w:val="24"/>
          <w:szCs w:val="24"/>
        </w:rPr>
        <w:t>日至</w:t>
      </w:r>
      <w:r>
        <w:rPr>
          <w:rFonts w:hint="eastAsia" w:ascii="宋体" w:hAnsi="宋体" w:cs="仿宋_GB2312"/>
          <w:color w:val="auto"/>
          <w:kern w:val="2"/>
          <w:sz w:val="24"/>
          <w:szCs w:val="24"/>
          <w:u w:val="single"/>
          <w:lang w:val="en-US" w:eastAsia="zh-CN"/>
        </w:rPr>
        <w:t>2024</w:t>
      </w:r>
      <w:r>
        <w:rPr>
          <w:rFonts w:hint="eastAsia" w:ascii="宋体" w:hAnsi="宋体" w:cs="仿宋_GB2312"/>
          <w:color w:val="auto"/>
          <w:kern w:val="2"/>
          <w:sz w:val="24"/>
          <w:szCs w:val="24"/>
        </w:rPr>
        <w:t>年</w:t>
      </w:r>
      <w:r>
        <w:rPr>
          <w:rFonts w:hint="eastAsia" w:ascii="宋体" w:hAnsi="宋体" w:cs="仿宋_GB2312"/>
          <w:color w:val="auto"/>
          <w:kern w:val="2"/>
          <w:sz w:val="24"/>
          <w:szCs w:val="24"/>
          <w:u w:val="single"/>
          <w:lang w:val="en-US" w:eastAsia="zh-CN"/>
        </w:rPr>
        <w:t>1</w:t>
      </w:r>
      <w:r>
        <w:rPr>
          <w:rFonts w:hint="eastAsia" w:ascii="宋体" w:hAnsi="宋体" w:cs="仿宋_GB2312"/>
          <w:color w:val="auto"/>
          <w:kern w:val="2"/>
          <w:sz w:val="24"/>
          <w:szCs w:val="24"/>
        </w:rPr>
        <w:t>月</w:t>
      </w:r>
      <w:r>
        <w:rPr>
          <w:rFonts w:hint="eastAsia" w:ascii="宋体" w:hAnsi="宋体" w:cs="仿宋_GB2312"/>
          <w:color w:val="auto"/>
          <w:kern w:val="2"/>
          <w:sz w:val="24"/>
          <w:szCs w:val="24"/>
          <w:u w:val="single"/>
          <w:lang w:val="en-US" w:eastAsia="zh-CN"/>
        </w:rPr>
        <w:t>31</w:t>
      </w:r>
      <w:r>
        <w:rPr>
          <w:rFonts w:hint="eastAsia" w:ascii="宋体" w:hAnsi="宋体" w:cs="仿宋_GB2312"/>
          <w:color w:val="auto"/>
          <w:kern w:val="2"/>
          <w:sz w:val="24"/>
          <w:szCs w:val="24"/>
        </w:rPr>
        <w:t>日止。</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bookmarkStart w:id="24" w:name="_Toc35393635"/>
      <w:bookmarkStart w:id="25" w:name="_Toc35393804"/>
      <w:r>
        <w:rPr>
          <w:rFonts w:hint="eastAsia" w:ascii="宋体" w:hAnsi="宋体"/>
          <w:b/>
          <w:kern w:val="2"/>
          <w:sz w:val="24"/>
          <w:szCs w:val="24"/>
        </w:rPr>
        <w:t>其他补充事宜</w:t>
      </w:r>
      <w:bookmarkEnd w:id="24"/>
      <w:bookmarkEnd w:id="25"/>
    </w:p>
    <w:p>
      <w:pPr>
        <w:numPr>
          <w:ilvl w:val="0"/>
          <w:numId w:val="8"/>
        </w:numPr>
        <w:autoSpaceDE/>
        <w:autoSpaceDN/>
        <w:adjustRightInd/>
        <w:snapToGrid w:val="0"/>
        <w:spacing w:beforeLines="0" w:afterLines="0" w:line="360" w:lineRule="auto"/>
        <w:ind w:left="426" w:hanging="426"/>
        <w:jc w:val="both"/>
        <w:textAlignment w:val="baseline"/>
        <w:rPr>
          <w:rFonts w:hint="eastAsia" w:ascii="宋体" w:hAnsi="宋体" w:cs="仿宋_GB2312"/>
          <w:kern w:val="2"/>
          <w:sz w:val="24"/>
          <w:szCs w:val="24"/>
        </w:rPr>
      </w:pPr>
      <w:r>
        <w:rPr>
          <w:rFonts w:hint="eastAsia" w:ascii="宋体" w:hAnsi="宋体"/>
          <w:kern w:val="2"/>
          <w:sz w:val="24"/>
          <w:szCs w:val="24"/>
        </w:rPr>
        <w:t>需要落实的采购政策：无。</w:t>
      </w:r>
    </w:p>
    <w:p>
      <w:pPr>
        <w:numPr>
          <w:ilvl w:val="0"/>
          <w:numId w:val="8"/>
        </w:numPr>
        <w:autoSpaceDE/>
        <w:autoSpaceDN/>
        <w:adjustRightInd/>
        <w:snapToGrid w:val="0"/>
        <w:spacing w:beforeLines="0" w:afterLines="0" w:line="360" w:lineRule="auto"/>
        <w:ind w:left="426" w:hanging="426"/>
        <w:jc w:val="both"/>
        <w:textAlignment w:val="baseline"/>
        <w:rPr>
          <w:rFonts w:hint="eastAsia" w:ascii="宋体" w:hAnsi="宋体"/>
          <w:kern w:val="2"/>
          <w:sz w:val="24"/>
          <w:szCs w:val="24"/>
        </w:rPr>
      </w:pPr>
      <w:r>
        <w:rPr>
          <w:rFonts w:hint="eastAsia" w:ascii="宋体" w:hAnsi="宋体" w:cs="宋体"/>
          <w:kern w:val="2"/>
          <w:sz w:val="24"/>
          <w:szCs w:val="24"/>
        </w:rPr>
        <w:t>获取文件方式：</w:t>
      </w:r>
    </w:p>
    <w:p>
      <w:pPr>
        <w:autoSpaceDE/>
        <w:autoSpaceDN/>
        <w:adjustRightInd/>
        <w:snapToGrid w:val="0"/>
        <w:spacing w:beforeLines="0" w:afterLines="0" w:line="360" w:lineRule="auto"/>
        <w:ind w:left="426"/>
        <w:jc w:val="both"/>
        <w:rPr>
          <w:rFonts w:hint="eastAsia" w:ascii="宋体" w:hAnsi="宋体" w:cs="宋体"/>
          <w:color w:val="000000"/>
          <w:kern w:val="2"/>
          <w:sz w:val="24"/>
          <w:szCs w:val="24"/>
        </w:rPr>
      </w:pPr>
      <w:r>
        <w:rPr>
          <w:rFonts w:hint="eastAsia" w:ascii="宋体" w:hAnsi="宋体" w:cs="宋体"/>
          <w:kern w:val="2"/>
          <w:sz w:val="24"/>
          <w:szCs w:val="24"/>
        </w:rPr>
        <w:t>（1）</w:t>
      </w:r>
      <w:r>
        <w:rPr>
          <w:rFonts w:hint="eastAsia" w:ascii="宋体" w:hAnsi="宋体"/>
          <w:color w:val="000000"/>
          <w:kern w:val="2"/>
          <w:sz w:val="24"/>
          <w:szCs w:val="24"/>
        </w:rPr>
        <w:t>网上报名：供应商可通过代理机构官网“http://www.chinapsp.cn/”点击“登录&amp;报名”后搜索本项目，点击“详情”进入公告页面后再点击右上角的“获取文件”，进行基本信息填写后打印《采购文件领购登记表》加盖公章后上传至系统或发送至baoming87651688@163.com，进行线上缴纳标书款，并获取文件。（具体操作指引也可见代理机构官网“http://www.chinapsp.cn/”右边点击“常见问题”）</w:t>
      </w:r>
    </w:p>
    <w:p>
      <w:pPr>
        <w:autoSpaceDE/>
        <w:autoSpaceDN/>
        <w:adjustRightInd/>
        <w:snapToGrid w:val="0"/>
        <w:spacing w:beforeLines="0" w:afterLines="0" w:line="360" w:lineRule="auto"/>
        <w:ind w:left="426"/>
        <w:jc w:val="both"/>
        <w:rPr>
          <w:rFonts w:hint="eastAsia" w:ascii="宋体" w:hAnsi="宋体" w:cs="宋体"/>
          <w:i/>
          <w:color w:val="595959"/>
          <w:kern w:val="2"/>
          <w:sz w:val="24"/>
          <w:szCs w:val="24"/>
          <w:shd w:val="pct10" w:color="auto" w:fill="FFFFFF"/>
        </w:rPr>
      </w:pPr>
      <w:r>
        <w:rPr>
          <w:rFonts w:hint="eastAsia" w:ascii="宋体" w:hAnsi="宋体" w:cs="宋体"/>
          <w:color w:val="000000"/>
          <w:kern w:val="2"/>
          <w:sz w:val="24"/>
          <w:szCs w:val="24"/>
        </w:rPr>
        <w:t>（2）</w:t>
      </w:r>
      <w:r>
        <w:rPr>
          <w:rFonts w:hint="eastAsia" w:ascii="宋体" w:hAnsi="宋体"/>
          <w:color w:val="000000"/>
          <w:kern w:val="2"/>
          <w:sz w:val="24"/>
          <w:szCs w:val="24"/>
        </w:rPr>
        <w:t>现场</w:t>
      </w:r>
      <w:r>
        <w:rPr>
          <w:rFonts w:hint="eastAsia" w:ascii="宋体" w:hAnsi="宋体"/>
          <w:kern w:val="2"/>
          <w:sz w:val="24"/>
          <w:szCs w:val="24"/>
        </w:rPr>
        <w:t>报名：供应商可通过代理机构官网“http://www.chinapsp.cn/”点击“登录&amp;报名”后搜索本项目，点击“详情”进入公告页面后再点击右上角的“获取文件”，进行基本信息填写后打印《采购文件领购登记表》加盖公章后，至广州市环市东路472号粤海大厦7楼缴纳标书款，并获取文件。</w:t>
      </w:r>
    </w:p>
    <w:p>
      <w:pPr>
        <w:numPr>
          <w:ilvl w:val="0"/>
          <w:numId w:val="8"/>
        </w:numPr>
        <w:autoSpaceDE/>
        <w:autoSpaceDN/>
        <w:adjustRightInd/>
        <w:snapToGrid w:val="0"/>
        <w:spacing w:beforeLines="0" w:afterLines="0" w:line="360" w:lineRule="auto"/>
        <w:ind w:left="426" w:hanging="426"/>
        <w:jc w:val="both"/>
        <w:textAlignment w:val="baseline"/>
        <w:rPr>
          <w:rFonts w:hint="eastAsia" w:ascii="宋体" w:hAnsi="宋体"/>
          <w:kern w:val="2"/>
          <w:sz w:val="24"/>
          <w:szCs w:val="24"/>
        </w:rPr>
      </w:pPr>
      <w:r>
        <w:rPr>
          <w:rFonts w:hint="eastAsia" w:ascii="宋体" w:hAnsi="宋体"/>
          <w:kern w:val="2"/>
          <w:sz w:val="24"/>
          <w:szCs w:val="24"/>
        </w:rPr>
        <w:t>如需邮寄（到付），招标代理机构对邮寄过程中的遗失概不负责。</w:t>
      </w:r>
    </w:p>
    <w:p>
      <w:pPr>
        <w:numPr>
          <w:ilvl w:val="0"/>
          <w:numId w:val="8"/>
        </w:numPr>
        <w:autoSpaceDE/>
        <w:autoSpaceDN/>
        <w:adjustRightInd/>
        <w:snapToGrid w:val="0"/>
        <w:spacing w:beforeLines="0" w:afterLines="0" w:line="360" w:lineRule="auto"/>
        <w:ind w:left="426" w:hanging="426"/>
        <w:jc w:val="both"/>
        <w:textAlignment w:val="baseline"/>
        <w:rPr>
          <w:rFonts w:hint="eastAsia" w:ascii="宋体" w:hAnsi="宋体" w:cs="宋体"/>
          <w:b/>
          <w:kern w:val="2"/>
          <w:sz w:val="24"/>
          <w:szCs w:val="24"/>
        </w:rPr>
      </w:pPr>
      <w:r>
        <w:rPr>
          <w:rFonts w:hint="eastAsia" w:ascii="宋体" w:hAnsi="宋体"/>
          <w:kern w:val="2"/>
          <w:sz w:val="24"/>
          <w:szCs w:val="24"/>
        </w:rPr>
        <w:t>获取磋商文件过程问题咨询联系人：</w:t>
      </w:r>
      <w:bookmarkStart w:id="26" w:name="_Toc35393805"/>
      <w:bookmarkStart w:id="27" w:name="_Toc28359018"/>
      <w:bookmarkStart w:id="28" w:name="_Toc35393636"/>
      <w:bookmarkStart w:id="29" w:name="_Toc28359095"/>
      <w:r>
        <w:rPr>
          <w:rFonts w:hint="eastAsia" w:ascii="宋体" w:hAnsi="宋体"/>
          <w:kern w:val="2"/>
          <w:sz w:val="24"/>
          <w:szCs w:val="24"/>
        </w:rPr>
        <w:fldChar w:fldCharType="begin"/>
      </w:r>
      <w:r>
        <w:rPr>
          <w:rFonts w:hint="eastAsia" w:ascii="宋体" w:hAnsi="宋体"/>
          <w:kern w:val="2"/>
          <w:sz w:val="24"/>
          <w:szCs w:val="24"/>
        </w:rPr>
        <w:instrText xml:space="preserve"> HYPERLINK "mailto:谢女士/李女士，020-87651688（转分机号401或411），邮箱baoming87651688@163.com。" </w:instrText>
      </w:r>
      <w:r>
        <w:rPr>
          <w:rFonts w:hint="eastAsia" w:ascii="宋体" w:hAnsi="宋体"/>
          <w:kern w:val="2"/>
          <w:sz w:val="24"/>
          <w:szCs w:val="24"/>
        </w:rPr>
        <w:fldChar w:fldCharType="separate"/>
      </w:r>
      <w:r>
        <w:rPr>
          <w:rFonts w:hint="eastAsia" w:ascii="宋体" w:hAnsi="宋体"/>
          <w:kern w:val="2"/>
          <w:sz w:val="24"/>
          <w:szCs w:val="24"/>
        </w:rPr>
        <w:t>谢女士/李女士，020-87651688（转分机号401或411），邮箱baoming87651688@163.com。</w:t>
      </w:r>
      <w:r>
        <w:rPr>
          <w:rFonts w:hint="eastAsia" w:ascii="宋体" w:hAnsi="宋体"/>
          <w:kern w:val="2"/>
          <w:sz w:val="24"/>
          <w:szCs w:val="24"/>
        </w:rPr>
        <w:fldChar w:fldCharType="end"/>
      </w:r>
    </w:p>
    <w:p>
      <w:pPr>
        <w:numPr>
          <w:ilvl w:val="0"/>
          <w:numId w:val="8"/>
        </w:numPr>
        <w:autoSpaceDE/>
        <w:autoSpaceDN/>
        <w:adjustRightInd/>
        <w:snapToGrid w:val="0"/>
        <w:spacing w:beforeLines="0" w:afterLines="0" w:line="360" w:lineRule="auto"/>
        <w:ind w:left="426" w:hanging="426"/>
        <w:jc w:val="both"/>
        <w:textAlignment w:val="baseline"/>
        <w:rPr>
          <w:rFonts w:hint="eastAsia" w:ascii="宋体" w:hAnsi="宋体" w:cs="宋体"/>
          <w:b/>
          <w:kern w:val="2"/>
          <w:sz w:val="24"/>
          <w:szCs w:val="24"/>
        </w:rPr>
      </w:pPr>
      <w:r>
        <w:rPr>
          <w:rFonts w:hint="eastAsia" w:ascii="宋体" w:hAnsi="宋体" w:cs="宋体"/>
          <w:b/>
          <w:kern w:val="2"/>
          <w:sz w:val="24"/>
          <w:szCs w:val="24"/>
        </w:rPr>
        <w:t>标书款若需要开具增值税专用发票的，需同时提供响应供应商一般纳税人资格认定税务通知书或其他可证明具有该项资格证明文件的复印件。（加盖响应供应商公章）</w:t>
      </w:r>
    </w:p>
    <w:p>
      <w:pPr>
        <w:numPr>
          <w:ilvl w:val="0"/>
          <w:numId w:val="1"/>
        </w:numPr>
        <w:autoSpaceDE/>
        <w:autoSpaceDN/>
        <w:adjustRightInd/>
        <w:snapToGrid w:val="0"/>
        <w:spacing w:beforeLines="0" w:afterLines="0" w:line="360" w:lineRule="auto"/>
        <w:ind w:hanging="279"/>
        <w:jc w:val="both"/>
        <w:rPr>
          <w:rFonts w:hint="eastAsia" w:ascii="宋体" w:hAnsi="宋体"/>
          <w:b/>
          <w:kern w:val="2"/>
          <w:sz w:val="24"/>
          <w:szCs w:val="24"/>
        </w:rPr>
      </w:pPr>
      <w:r>
        <w:rPr>
          <w:rFonts w:hint="eastAsia" w:ascii="宋体" w:hAnsi="宋体"/>
          <w:b/>
          <w:kern w:val="2"/>
          <w:sz w:val="24"/>
          <w:szCs w:val="24"/>
        </w:rPr>
        <w:t>凡对本次采购提出询问，请按以下方式联系。</w:t>
      </w:r>
      <w:bookmarkEnd w:id="26"/>
      <w:bookmarkEnd w:id="27"/>
      <w:bookmarkEnd w:id="28"/>
      <w:bookmarkEnd w:id="29"/>
    </w:p>
    <w:p>
      <w:pPr>
        <w:numPr>
          <w:ilvl w:val="0"/>
          <w:numId w:val="9"/>
        </w:numPr>
        <w:autoSpaceDE/>
        <w:autoSpaceDN/>
        <w:adjustRightInd/>
        <w:snapToGrid w:val="0"/>
        <w:spacing w:beforeLines="0" w:afterLines="0" w:line="360" w:lineRule="auto"/>
        <w:jc w:val="both"/>
        <w:textAlignment w:val="baseline"/>
        <w:rPr>
          <w:rFonts w:hint="eastAsia" w:ascii="宋体" w:hAnsi="宋体" w:cs="宋体"/>
          <w:b/>
          <w:kern w:val="2"/>
          <w:sz w:val="24"/>
          <w:szCs w:val="24"/>
        </w:rPr>
      </w:pPr>
      <w:bookmarkStart w:id="30" w:name="_Toc28359096"/>
      <w:bookmarkStart w:id="31" w:name="_Toc28359019"/>
      <w:bookmarkStart w:id="32" w:name="_Toc35393637"/>
      <w:bookmarkStart w:id="33" w:name="_Toc35393806"/>
      <w:r>
        <w:rPr>
          <w:rFonts w:hint="eastAsia" w:ascii="宋体" w:hAnsi="宋体" w:cs="宋体"/>
          <w:kern w:val="2"/>
          <w:sz w:val="24"/>
          <w:szCs w:val="24"/>
        </w:rPr>
        <w:t>采购人信息</w:t>
      </w:r>
      <w:bookmarkEnd w:id="30"/>
      <w:bookmarkEnd w:id="31"/>
      <w:bookmarkEnd w:id="32"/>
      <w:bookmarkEnd w:id="33"/>
    </w:p>
    <w:p>
      <w:pPr>
        <w:autoSpaceDE/>
        <w:autoSpaceDN/>
        <w:adjustRightInd/>
        <w:snapToGrid w:val="0"/>
        <w:spacing w:beforeLines="0" w:afterLines="0" w:line="360" w:lineRule="auto"/>
        <w:ind w:left="1080" w:leftChars="136" w:hanging="794" w:hangingChars="331"/>
        <w:rPr>
          <w:rFonts w:hint="eastAsia" w:ascii="宋体" w:hAnsi="宋体"/>
          <w:kern w:val="2"/>
          <w:sz w:val="24"/>
          <w:szCs w:val="24"/>
        </w:rPr>
      </w:pPr>
      <w:r>
        <w:rPr>
          <w:rFonts w:hint="eastAsia" w:ascii="宋体" w:hAnsi="宋体"/>
          <w:kern w:val="2"/>
          <w:sz w:val="24"/>
          <w:szCs w:val="24"/>
        </w:rPr>
        <w:t>名称：广东省监狱中心医院</w:t>
      </w:r>
    </w:p>
    <w:p>
      <w:pPr>
        <w:autoSpaceDE/>
        <w:autoSpaceDN/>
        <w:adjustRightInd/>
        <w:snapToGrid w:val="0"/>
        <w:spacing w:beforeLines="0" w:afterLines="0" w:line="360" w:lineRule="auto"/>
        <w:ind w:left="1080" w:leftChars="136" w:hanging="794" w:hangingChars="331"/>
        <w:rPr>
          <w:rFonts w:hint="eastAsia" w:ascii="宋体" w:hAnsi="宋体"/>
          <w:kern w:val="2"/>
          <w:sz w:val="24"/>
          <w:szCs w:val="24"/>
        </w:rPr>
      </w:pPr>
      <w:r>
        <w:rPr>
          <w:rFonts w:hint="eastAsia" w:ascii="宋体" w:hAnsi="宋体"/>
          <w:kern w:val="2"/>
          <w:sz w:val="24"/>
          <w:szCs w:val="24"/>
        </w:rPr>
        <w:t>地址：广州市白云区石井街石潭西路88号</w:t>
      </w:r>
    </w:p>
    <w:p>
      <w:pPr>
        <w:autoSpaceDE/>
        <w:autoSpaceDN/>
        <w:adjustRightInd/>
        <w:snapToGrid w:val="0"/>
        <w:spacing w:beforeLines="0" w:afterLines="0" w:line="360" w:lineRule="auto"/>
        <w:ind w:left="1080" w:leftChars="136" w:hanging="794" w:hangingChars="331"/>
        <w:rPr>
          <w:rFonts w:hint="eastAsia" w:ascii="宋体" w:hAnsi="宋体" w:cs="宋体"/>
          <w:b/>
          <w:kern w:val="2"/>
          <w:sz w:val="24"/>
          <w:szCs w:val="24"/>
        </w:rPr>
      </w:pPr>
      <w:r>
        <w:rPr>
          <w:rFonts w:hint="eastAsia" w:ascii="宋体" w:hAnsi="宋体"/>
          <w:kern w:val="2"/>
          <w:sz w:val="24"/>
          <w:szCs w:val="24"/>
        </w:rPr>
        <w:t>联系方式：</w:t>
      </w:r>
      <w:r>
        <w:rPr>
          <w:rFonts w:hint="eastAsia" w:ascii="宋体" w:hAnsi="宋体" w:cs="宋体"/>
          <w:kern w:val="2"/>
          <w:sz w:val="24"/>
          <w:szCs w:val="24"/>
        </w:rPr>
        <w:t>符先生 020-86417983</w:t>
      </w:r>
    </w:p>
    <w:p>
      <w:pPr>
        <w:autoSpaceDE/>
        <w:autoSpaceDN/>
        <w:adjustRightInd/>
        <w:snapToGrid w:val="0"/>
        <w:spacing w:beforeLines="0" w:afterLines="0" w:line="360" w:lineRule="auto"/>
        <w:ind w:firstLine="283" w:firstLineChars="118"/>
        <w:jc w:val="both"/>
        <w:rPr>
          <w:rFonts w:hint="eastAsia" w:ascii="宋体" w:hAnsi="宋体"/>
          <w:kern w:val="2"/>
          <w:sz w:val="24"/>
          <w:szCs w:val="24"/>
        </w:rPr>
      </w:pPr>
      <w:r>
        <w:rPr>
          <w:rFonts w:hint="eastAsia" w:ascii="宋体" w:hAnsi="宋体"/>
          <w:kern w:val="2"/>
          <w:sz w:val="24"/>
          <w:szCs w:val="24"/>
        </w:rPr>
        <w:t>名称：采联国际招标采购集团有限公司</w:t>
      </w:r>
    </w:p>
    <w:p>
      <w:pPr>
        <w:autoSpaceDE/>
        <w:autoSpaceDN/>
        <w:adjustRightInd/>
        <w:snapToGrid w:val="0"/>
        <w:spacing w:beforeLines="0" w:afterLines="0" w:line="360" w:lineRule="auto"/>
        <w:ind w:firstLine="283" w:firstLineChars="118"/>
        <w:jc w:val="both"/>
        <w:rPr>
          <w:rFonts w:hint="eastAsia" w:ascii="宋体" w:hAnsi="宋体"/>
          <w:kern w:val="2"/>
          <w:sz w:val="24"/>
          <w:szCs w:val="24"/>
        </w:rPr>
      </w:pPr>
      <w:r>
        <w:rPr>
          <w:rFonts w:hint="eastAsia" w:ascii="宋体" w:hAnsi="宋体"/>
          <w:kern w:val="2"/>
          <w:sz w:val="24"/>
          <w:szCs w:val="24"/>
        </w:rPr>
        <w:t>地址：广州市环市东路472号粤海大厦7、23楼</w:t>
      </w:r>
    </w:p>
    <w:p>
      <w:pPr>
        <w:autoSpaceDE/>
        <w:autoSpaceDN/>
        <w:adjustRightInd/>
        <w:snapToGrid w:val="0"/>
        <w:spacing w:beforeLines="0" w:afterLines="0" w:line="360" w:lineRule="auto"/>
        <w:ind w:firstLine="283" w:firstLineChars="118"/>
        <w:jc w:val="both"/>
        <w:rPr>
          <w:rFonts w:hint="default" w:ascii="宋体" w:hAnsi="宋体" w:eastAsia="宋体"/>
          <w:color w:val="auto"/>
          <w:kern w:val="2"/>
          <w:sz w:val="24"/>
          <w:szCs w:val="24"/>
          <w:u w:val="single"/>
          <w:lang w:val="en-US" w:eastAsia="zh-CN"/>
        </w:rPr>
      </w:pPr>
      <w:r>
        <w:rPr>
          <w:rFonts w:hint="eastAsia" w:ascii="宋体" w:hAnsi="宋体"/>
          <w:color w:val="auto"/>
          <w:kern w:val="2"/>
          <w:sz w:val="24"/>
          <w:szCs w:val="24"/>
        </w:rPr>
        <w:t>联系方式：梁女士/</w:t>
      </w:r>
      <w:r>
        <w:rPr>
          <w:rFonts w:hint="eastAsia" w:ascii="宋体" w:hAnsi="宋体"/>
          <w:color w:val="auto"/>
          <w:kern w:val="2"/>
          <w:sz w:val="24"/>
          <w:szCs w:val="24"/>
          <w:lang w:val="en-US" w:eastAsia="zh-CN"/>
        </w:rPr>
        <w:t>张</w:t>
      </w:r>
      <w:r>
        <w:rPr>
          <w:rFonts w:hint="eastAsia" w:ascii="宋体" w:hAnsi="宋体"/>
          <w:color w:val="auto"/>
          <w:kern w:val="2"/>
          <w:sz w:val="24"/>
          <w:szCs w:val="24"/>
        </w:rPr>
        <w:t>女士</w:t>
      </w:r>
      <w:r>
        <w:rPr>
          <w:rFonts w:hint="eastAsia" w:ascii="宋体" w:hAnsi="宋体"/>
          <w:color w:val="auto"/>
          <w:kern w:val="2"/>
          <w:sz w:val="24"/>
          <w:szCs w:val="24"/>
          <w:lang w:val="en-US" w:eastAsia="zh-CN"/>
        </w:rPr>
        <w:t xml:space="preserve"> </w:t>
      </w:r>
      <w:r>
        <w:rPr>
          <w:rFonts w:hint="eastAsia" w:ascii="宋体" w:hAnsi="宋体"/>
          <w:color w:val="auto"/>
          <w:kern w:val="2"/>
          <w:sz w:val="24"/>
          <w:szCs w:val="24"/>
        </w:rPr>
        <w:t>020-87651688-104/</w:t>
      </w:r>
      <w:r>
        <w:rPr>
          <w:rFonts w:hint="eastAsia" w:ascii="宋体" w:hAnsi="宋体"/>
          <w:color w:val="auto"/>
          <w:kern w:val="2"/>
          <w:sz w:val="24"/>
          <w:szCs w:val="24"/>
          <w:lang w:val="en-US" w:eastAsia="zh-CN"/>
        </w:rPr>
        <w:t>106</w:t>
      </w:r>
    </w:p>
    <w:p>
      <w:pPr>
        <w:numPr>
          <w:ilvl w:val="0"/>
          <w:numId w:val="9"/>
        </w:numPr>
        <w:autoSpaceDE/>
        <w:autoSpaceDN/>
        <w:adjustRightInd/>
        <w:snapToGrid w:val="0"/>
        <w:spacing w:beforeLines="0" w:afterLines="0" w:line="360" w:lineRule="auto"/>
        <w:jc w:val="both"/>
        <w:textAlignment w:val="baseline"/>
        <w:rPr>
          <w:rFonts w:hint="eastAsia" w:ascii="宋体" w:hAnsi="宋体" w:cs="宋体"/>
          <w:b/>
          <w:color w:val="auto"/>
          <w:kern w:val="2"/>
          <w:sz w:val="24"/>
          <w:szCs w:val="24"/>
        </w:rPr>
      </w:pPr>
      <w:bookmarkStart w:id="34" w:name="_Toc35393808"/>
      <w:bookmarkStart w:id="35" w:name="_Toc35393639"/>
      <w:bookmarkStart w:id="36" w:name="_Toc28359098"/>
      <w:bookmarkStart w:id="37" w:name="_Toc28359021"/>
      <w:r>
        <w:rPr>
          <w:rFonts w:hint="eastAsia" w:ascii="宋体" w:hAnsi="宋体" w:cs="宋体"/>
          <w:color w:val="auto"/>
          <w:kern w:val="2"/>
          <w:sz w:val="24"/>
          <w:szCs w:val="24"/>
        </w:rPr>
        <w:t>项目联系方式</w:t>
      </w:r>
      <w:bookmarkEnd w:id="34"/>
      <w:bookmarkEnd w:id="35"/>
      <w:bookmarkEnd w:id="36"/>
      <w:bookmarkEnd w:id="37"/>
    </w:p>
    <w:p>
      <w:pPr>
        <w:autoSpaceDE/>
        <w:autoSpaceDN/>
        <w:adjustRightInd/>
        <w:snapToGrid w:val="0"/>
        <w:spacing w:beforeLines="0" w:afterLines="0" w:line="360" w:lineRule="auto"/>
        <w:ind w:firstLine="283" w:firstLineChars="118"/>
        <w:jc w:val="both"/>
        <w:rPr>
          <w:rFonts w:hint="eastAsia" w:ascii="宋体" w:hAnsi="宋体"/>
          <w:color w:val="auto"/>
          <w:kern w:val="2"/>
          <w:sz w:val="24"/>
          <w:szCs w:val="24"/>
        </w:rPr>
      </w:pPr>
      <w:r>
        <w:rPr>
          <w:rFonts w:hint="eastAsia" w:ascii="宋体" w:hAnsi="宋体"/>
          <w:color w:val="auto"/>
          <w:kern w:val="2"/>
          <w:sz w:val="24"/>
          <w:szCs w:val="24"/>
        </w:rPr>
        <w:t>项目联系人：梁女士/</w:t>
      </w:r>
      <w:r>
        <w:rPr>
          <w:rFonts w:hint="eastAsia" w:ascii="宋体" w:hAnsi="宋体"/>
          <w:color w:val="auto"/>
          <w:kern w:val="2"/>
          <w:sz w:val="24"/>
          <w:szCs w:val="24"/>
          <w:lang w:val="en-US" w:eastAsia="zh-CN"/>
        </w:rPr>
        <w:t>张</w:t>
      </w:r>
      <w:r>
        <w:rPr>
          <w:rFonts w:hint="eastAsia" w:ascii="宋体" w:hAnsi="宋体"/>
          <w:color w:val="auto"/>
          <w:kern w:val="2"/>
          <w:sz w:val="24"/>
          <w:szCs w:val="24"/>
        </w:rPr>
        <w:t>女士</w:t>
      </w:r>
    </w:p>
    <w:p>
      <w:pPr>
        <w:autoSpaceDE/>
        <w:autoSpaceDN/>
        <w:adjustRightInd/>
        <w:snapToGrid w:val="0"/>
        <w:spacing w:beforeLines="0" w:afterLines="0" w:line="360" w:lineRule="auto"/>
        <w:ind w:firstLine="283" w:firstLineChars="118"/>
        <w:jc w:val="both"/>
        <w:rPr>
          <w:rFonts w:hint="eastAsia" w:ascii="宋体" w:hAnsi="宋体"/>
          <w:color w:val="auto"/>
          <w:kern w:val="2"/>
          <w:sz w:val="24"/>
          <w:szCs w:val="24"/>
        </w:rPr>
      </w:pPr>
      <w:r>
        <w:rPr>
          <w:rFonts w:hint="eastAsia" w:ascii="宋体" w:hAnsi="宋体"/>
          <w:color w:val="auto"/>
          <w:kern w:val="2"/>
          <w:sz w:val="24"/>
          <w:szCs w:val="24"/>
        </w:rPr>
        <w:t>电话：020-87651688-104/</w:t>
      </w:r>
      <w:r>
        <w:rPr>
          <w:rFonts w:hint="eastAsia" w:ascii="宋体" w:hAnsi="宋体"/>
          <w:color w:val="auto"/>
          <w:kern w:val="2"/>
          <w:sz w:val="24"/>
          <w:szCs w:val="24"/>
          <w:lang w:val="en-US" w:eastAsia="zh-CN"/>
        </w:rPr>
        <w:t>106</w:t>
      </w:r>
    </w:p>
    <w:p>
      <w:pPr>
        <w:autoSpaceDE/>
        <w:autoSpaceDN/>
        <w:adjustRightInd/>
        <w:snapToGrid w:val="0"/>
        <w:spacing w:beforeLines="0" w:afterLines="0" w:line="360" w:lineRule="auto"/>
        <w:jc w:val="both"/>
        <w:rPr>
          <w:rFonts w:hint="eastAsia" w:ascii="宋体" w:hAnsi="宋体"/>
          <w:kern w:val="2"/>
          <w:sz w:val="24"/>
          <w:szCs w:val="24"/>
        </w:rPr>
      </w:pPr>
    </w:p>
    <w:p>
      <w:pPr>
        <w:autoSpaceDE/>
        <w:autoSpaceDN/>
        <w:adjustRightInd/>
        <w:snapToGrid w:val="0"/>
        <w:spacing w:beforeLines="0" w:afterLines="0" w:line="360" w:lineRule="auto"/>
        <w:jc w:val="both"/>
        <w:rPr>
          <w:rFonts w:hint="eastAsia" w:ascii="宋体" w:hAnsi="宋体"/>
          <w:kern w:val="2"/>
          <w:sz w:val="24"/>
          <w:szCs w:val="24"/>
        </w:rPr>
      </w:pPr>
    </w:p>
    <w:p>
      <w:pPr>
        <w:autoSpaceDE/>
        <w:autoSpaceDN/>
        <w:adjustRightInd/>
        <w:snapToGrid w:val="0"/>
        <w:spacing w:beforeLines="0" w:afterLines="0" w:line="360" w:lineRule="auto"/>
        <w:jc w:val="both"/>
        <w:rPr>
          <w:rFonts w:hint="eastAsia" w:ascii="宋体" w:hAnsi="宋体"/>
          <w:kern w:val="2"/>
          <w:sz w:val="24"/>
          <w:szCs w:val="24"/>
        </w:rPr>
      </w:pPr>
    </w:p>
    <w:p>
      <w:pPr>
        <w:autoSpaceDE/>
        <w:autoSpaceDN/>
        <w:adjustRightInd/>
        <w:snapToGrid w:val="0"/>
        <w:spacing w:beforeLines="0" w:afterLines="0" w:line="360" w:lineRule="auto"/>
        <w:jc w:val="right"/>
        <w:rPr>
          <w:rFonts w:hint="eastAsia" w:ascii="宋体" w:hAnsi="宋体" w:cs="仿宋_GB2312"/>
          <w:color w:val="auto"/>
          <w:kern w:val="2"/>
          <w:sz w:val="24"/>
          <w:szCs w:val="24"/>
        </w:rPr>
      </w:pPr>
      <w:r>
        <w:rPr>
          <w:rFonts w:hint="eastAsia" w:ascii="宋体" w:hAnsi="宋体" w:cs="仿宋_GB2312"/>
          <w:kern w:val="2"/>
          <w:sz w:val="24"/>
          <w:szCs w:val="24"/>
        </w:rPr>
        <w:t>发布人：</w:t>
      </w:r>
      <w:r>
        <w:rPr>
          <w:rFonts w:hint="eastAsia" w:ascii="宋体" w:hAnsi="宋体"/>
          <w:color w:val="auto"/>
          <w:kern w:val="2"/>
          <w:sz w:val="24"/>
          <w:szCs w:val="24"/>
          <w:u w:val="single"/>
        </w:rPr>
        <w:t>采联国际招标采购集团有限公司</w:t>
      </w:r>
    </w:p>
    <w:p>
      <w:pPr>
        <w:autoSpaceDE/>
        <w:autoSpaceDN/>
        <w:adjustRightInd/>
        <w:snapToGrid w:val="0"/>
        <w:spacing w:beforeLines="0" w:afterLines="0" w:line="360" w:lineRule="auto"/>
        <w:jc w:val="right"/>
        <w:rPr>
          <w:rFonts w:hint="eastAsia" w:ascii="宋体" w:hAnsi="宋体"/>
          <w:color w:val="auto"/>
          <w:sz w:val="24"/>
          <w:szCs w:val="21"/>
          <w:u w:val="single"/>
        </w:rPr>
      </w:pPr>
      <w:r>
        <w:rPr>
          <w:rFonts w:hint="eastAsia" w:ascii="宋体" w:hAnsi="宋体" w:cs="仿宋_GB2312"/>
          <w:color w:val="auto"/>
          <w:kern w:val="2"/>
          <w:sz w:val="24"/>
          <w:szCs w:val="24"/>
        </w:rPr>
        <w:t>发布时间：</w:t>
      </w:r>
      <w:r>
        <w:rPr>
          <w:rFonts w:hint="eastAsia" w:ascii="宋体" w:hAnsi="宋体" w:cs="仿宋_GB2312"/>
          <w:color w:val="auto"/>
          <w:kern w:val="2"/>
          <w:sz w:val="24"/>
          <w:szCs w:val="24"/>
          <w:u w:val="single"/>
          <w:lang w:val="en-US" w:eastAsia="zh-CN"/>
        </w:rPr>
        <w:t>2024</w:t>
      </w:r>
      <w:r>
        <w:rPr>
          <w:rFonts w:hint="eastAsia" w:ascii="宋体" w:hAnsi="宋体" w:cs="仿宋_GB2312"/>
          <w:color w:val="auto"/>
          <w:kern w:val="2"/>
          <w:sz w:val="24"/>
          <w:szCs w:val="24"/>
        </w:rPr>
        <w:t>年</w:t>
      </w:r>
      <w:r>
        <w:rPr>
          <w:rFonts w:hint="eastAsia" w:ascii="宋体" w:hAnsi="宋体" w:cs="仿宋_GB2312"/>
          <w:color w:val="auto"/>
          <w:kern w:val="2"/>
          <w:sz w:val="24"/>
          <w:szCs w:val="24"/>
          <w:u w:val="single"/>
          <w:lang w:val="en-US" w:eastAsia="zh-CN"/>
        </w:rPr>
        <w:t>1</w:t>
      </w:r>
      <w:r>
        <w:rPr>
          <w:rFonts w:hint="eastAsia" w:ascii="宋体" w:hAnsi="宋体" w:cs="仿宋_GB2312"/>
          <w:color w:val="auto"/>
          <w:kern w:val="2"/>
          <w:sz w:val="24"/>
          <w:szCs w:val="24"/>
        </w:rPr>
        <w:t>月</w:t>
      </w:r>
      <w:r>
        <w:rPr>
          <w:rFonts w:hint="eastAsia" w:ascii="宋体" w:hAnsi="宋体" w:cs="仿宋_GB2312"/>
          <w:color w:val="auto"/>
          <w:kern w:val="2"/>
          <w:sz w:val="24"/>
          <w:szCs w:val="24"/>
          <w:u w:val="single"/>
          <w:lang w:val="en-US" w:eastAsia="zh-CN"/>
        </w:rPr>
        <w:t>26</w:t>
      </w:r>
      <w:r>
        <w:rPr>
          <w:rFonts w:hint="eastAsia" w:ascii="宋体" w:hAnsi="宋体" w:cs="仿宋_GB2312"/>
          <w:color w:val="auto"/>
          <w:kern w:val="2"/>
          <w:sz w:val="24"/>
          <w:szCs w:val="24"/>
        </w:rPr>
        <w:t>日</w:t>
      </w:r>
    </w:p>
    <w:p/>
    <w:sectPr>
      <w:pgSz w:w="12240" w:h="15840"/>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B9DAD"/>
    <w:multiLevelType w:val="multilevel"/>
    <w:tmpl w:val="854B9DAD"/>
    <w:lvl w:ilvl="0" w:tentative="0">
      <w:start w:val="1"/>
      <w:numFmt w:val="decimal"/>
      <w:suff w:val="nothing"/>
      <w:lvlText w:val="(%1)"/>
      <w:lvlJc w:val="left"/>
      <w:pPr>
        <w:ind w:left="840" w:hanging="420"/>
      </w:pPr>
      <w:rPr>
        <w:rFonts w:hint="default"/>
        <w:color w:val="auto"/>
        <w:u w:val="none" w:color="auto"/>
      </w:rPr>
    </w:lvl>
    <w:lvl w:ilvl="1" w:tentative="0">
      <w:start w:val="1"/>
      <w:numFmt w:val="lowerLetter"/>
      <w:lvlText w:val="%2)"/>
      <w:lvlJc w:val="left"/>
      <w:pPr>
        <w:ind w:left="1260" w:hanging="420"/>
      </w:pPr>
      <w:rPr>
        <w:rFonts w:hint="default"/>
        <w:u w:val="none" w:color="auto"/>
      </w:rPr>
    </w:lvl>
    <w:lvl w:ilvl="2" w:tentative="0">
      <w:start w:val="1"/>
      <w:numFmt w:val="lowerRoman"/>
      <w:lvlText w:val="%3."/>
      <w:lvlJc w:val="right"/>
      <w:pPr>
        <w:ind w:left="1680" w:hanging="420"/>
      </w:pPr>
      <w:rPr>
        <w:rFonts w:hint="default"/>
        <w:u w:val="none" w:color="auto"/>
      </w:rPr>
    </w:lvl>
    <w:lvl w:ilvl="3" w:tentative="0">
      <w:start w:val="1"/>
      <w:numFmt w:val="decimal"/>
      <w:lvlText w:val="%4."/>
      <w:lvlJc w:val="left"/>
      <w:pPr>
        <w:ind w:left="2100" w:hanging="420"/>
      </w:pPr>
      <w:rPr>
        <w:rFonts w:hint="default"/>
        <w:u w:val="none" w:color="auto"/>
      </w:rPr>
    </w:lvl>
    <w:lvl w:ilvl="4" w:tentative="0">
      <w:start w:val="1"/>
      <w:numFmt w:val="lowerLetter"/>
      <w:lvlText w:val="%5)"/>
      <w:lvlJc w:val="left"/>
      <w:pPr>
        <w:ind w:left="2520" w:hanging="420"/>
      </w:pPr>
      <w:rPr>
        <w:rFonts w:hint="default"/>
        <w:u w:val="none" w:color="auto"/>
      </w:rPr>
    </w:lvl>
    <w:lvl w:ilvl="5" w:tentative="0">
      <w:start w:val="1"/>
      <w:numFmt w:val="lowerRoman"/>
      <w:lvlText w:val="%6."/>
      <w:lvlJc w:val="right"/>
      <w:pPr>
        <w:ind w:left="2940" w:hanging="420"/>
      </w:pPr>
      <w:rPr>
        <w:rFonts w:hint="default"/>
        <w:u w:val="none" w:color="auto"/>
      </w:rPr>
    </w:lvl>
    <w:lvl w:ilvl="6" w:tentative="0">
      <w:start w:val="1"/>
      <w:numFmt w:val="decimal"/>
      <w:lvlText w:val="%7."/>
      <w:lvlJc w:val="left"/>
      <w:pPr>
        <w:ind w:left="3360" w:hanging="420"/>
      </w:pPr>
      <w:rPr>
        <w:rFonts w:hint="default"/>
        <w:u w:val="none" w:color="auto"/>
      </w:rPr>
    </w:lvl>
    <w:lvl w:ilvl="7" w:tentative="0">
      <w:start w:val="1"/>
      <w:numFmt w:val="lowerLetter"/>
      <w:lvlText w:val="%8)"/>
      <w:lvlJc w:val="left"/>
      <w:pPr>
        <w:ind w:left="3780" w:hanging="420"/>
      </w:pPr>
      <w:rPr>
        <w:rFonts w:hint="default"/>
        <w:u w:val="none" w:color="auto"/>
      </w:rPr>
    </w:lvl>
    <w:lvl w:ilvl="8" w:tentative="0">
      <w:start w:val="1"/>
      <w:numFmt w:val="lowerRoman"/>
      <w:lvlText w:val="%9."/>
      <w:lvlJc w:val="right"/>
      <w:pPr>
        <w:ind w:left="4200" w:hanging="420"/>
      </w:pPr>
      <w:rPr>
        <w:rFonts w:hint="default"/>
        <w:u w:val="none" w:color="auto"/>
      </w:rPr>
    </w:lvl>
  </w:abstractNum>
  <w:abstractNum w:abstractNumId="1">
    <w:nsid w:val="F1FBF70D"/>
    <w:multiLevelType w:val="multilevel"/>
    <w:tmpl w:val="F1FBF70D"/>
    <w:lvl w:ilvl="0" w:tentative="0">
      <w:start w:val="1"/>
      <w:numFmt w:val="decimal"/>
      <w:suff w:val="nothing"/>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
    <w:nsid w:val="0A713663"/>
    <w:multiLevelType w:val="multilevel"/>
    <w:tmpl w:val="0A713663"/>
    <w:lvl w:ilvl="0" w:tentative="0">
      <w:start w:val="1"/>
      <w:numFmt w:val="chineseCountingThousand"/>
      <w:lvlText w:val="%1、"/>
      <w:lvlJc w:val="left"/>
      <w:pPr>
        <w:ind w:left="279" w:hanging="420"/>
      </w:pPr>
      <w:rPr>
        <w:rFonts w:hint="default"/>
        <w:b/>
        <w:sz w:val="24"/>
        <w:u w:val="none" w:color="auto"/>
      </w:rPr>
    </w:lvl>
    <w:lvl w:ilvl="1" w:tentative="0">
      <w:start w:val="1"/>
      <w:numFmt w:val="lowerLetter"/>
      <w:lvlText w:val="%2)"/>
      <w:lvlJc w:val="left"/>
      <w:pPr>
        <w:ind w:left="699" w:hanging="420"/>
      </w:pPr>
      <w:rPr>
        <w:rFonts w:hint="default"/>
        <w:u w:val="none" w:color="auto"/>
      </w:rPr>
    </w:lvl>
    <w:lvl w:ilvl="2" w:tentative="0">
      <w:start w:val="1"/>
      <w:numFmt w:val="lowerRoman"/>
      <w:lvlText w:val="%3."/>
      <w:lvlJc w:val="right"/>
      <w:pPr>
        <w:ind w:left="1119" w:hanging="420"/>
      </w:pPr>
      <w:rPr>
        <w:rFonts w:hint="default"/>
        <w:u w:val="none" w:color="auto"/>
      </w:rPr>
    </w:lvl>
    <w:lvl w:ilvl="3" w:tentative="0">
      <w:start w:val="1"/>
      <w:numFmt w:val="decimal"/>
      <w:lvlText w:val="%4."/>
      <w:lvlJc w:val="left"/>
      <w:pPr>
        <w:ind w:left="1539" w:hanging="420"/>
      </w:pPr>
      <w:rPr>
        <w:rFonts w:hint="default"/>
        <w:u w:val="none" w:color="auto"/>
      </w:rPr>
    </w:lvl>
    <w:lvl w:ilvl="4" w:tentative="0">
      <w:start w:val="1"/>
      <w:numFmt w:val="lowerLetter"/>
      <w:lvlText w:val="%5)"/>
      <w:lvlJc w:val="left"/>
      <w:pPr>
        <w:ind w:left="1959" w:hanging="420"/>
      </w:pPr>
      <w:rPr>
        <w:rFonts w:hint="default"/>
        <w:u w:val="none" w:color="auto"/>
      </w:rPr>
    </w:lvl>
    <w:lvl w:ilvl="5" w:tentative="0">
      <w:start w:val="1"/>
      <w:numFmt w:val="lowerRoman"/>
      <w:lvlText w:val="%6."/>
      <w:lvlJc w:val="right"/>
      <w:pPr>
        <w:ind w:left="2379" w:hanging="420"/>
      </w:pPr>
      <w:rPr>
        <w:rFonts w:hint="default"/>
        <w:u w:val="none" w:color="auto"/>
      </w:rPr>
    </w:lvl>
    <w:lvl w:ilvl="6" w:tentative="0">
      <w:start w:val="1"/>
      <w:numFmt w:val="decimal"/>
      <w:lvlText w:val="%7."/>
      <w:lvlJc w:val="left"/>
      <w:pPr>
        <w:ind w:left="2799" w:hanging="420"/>
      </w:pPr>
      <w:rPr>
        <w:rFonts w:hint="default"/>
        <w:u w:val="none" w:color="auto"/>
      </w:rPr>
    </w:lvl>
    <w:lvl w:ilvl="7" w:tentative="0">
      <w:start w:val="1"/>
      <w:numFmt w:val="lowerLetter"/>
      <w:lvlText w:val="%8)"/>
      <w:lvlJc w:val="left"/>
      <w:pPr>
        <w:ind w:left="3219" w:hanging="420"/>
      </w:pPr>
      <w:rPr>
        <w:rFonts w:hint="default"/>
        <w:u w:val="none" w:color="auto"/>
      </w:rPr>
    </w:lvl>
    <w:lvl w:ilvl="8" w:tentative="0">
      <w:start w:val="1"/>
      <w:numFmt w:val="lowerRoman"/>
      <w:lvlText w:val="%9."/>
      <w:lvlJc w:val="right"/>
      <w:pPr>
        <w:ind w:left="3639" w:hanging="420"/>
      </w:pPr>
      <w:rPr>
        <w:rFonts w:hint="default"/>
        <w:u w:val="none" w:color="auto"/>
      </w:rPr>
    </w:lvl>
  </w:abstractNum>
  <w:abstractNum w:abstractNumId="3">
    <w:nsid w:val="2D2A6FF6"/>
    <w:multiLevelType w:val="multilevel"/>
    <w:tmpl w:val="2D2A6FF6"/>
    <w:lvl w:ilvl="0" w:tentative="0">
      <w:start w:val="1"/>
      <w:numFmt w:val="decimal"/>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4">
    <w:nsid w:val="462E0544"/>
    <w:multiLevelType w:val="multilevel"/>
    <w:tmpl w:val="462E0544"/>
    <w:lvl w:ilvl="0" w:tentative="0">
      <w:start w:val="1"/>
      <w:numFmt w:val="decimal"/>
      <w:lvlText w:val="%1."/>
      <w:lvlJc w:val="left"/>
      <w:pPr>
        <w:ind w:left="900" w:hanging="420"/>
      </w:pPr>
      <w:rPr>
        <w:rFonts w:hint="default"/>
        <w:u w:val="none" w:color="auto"/>
      </w:rPr>
    </w:lvl>
    <w:lvl w:ilvl="1" w:tentative="0">
      <w:start w:val="1"/>
      <w:numFmt w:val="lowerLetter"/>
      <w:lvlText w:val="%2)"/>
      <w:lvlJc w:val="left"/>
      <w:pPr>
        <w:ind w:left="1320" w:hanging="42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5">
    <w:nsid w:val="69733270"/>
    <w:multiLevelType w:val="multilevel"/>
    <w:tmpl w:val="69733270"/>
    <w:lvl w:ilvl="0" w:tentative="0">
      <w:start w:val="1"/>
      <w:numFmt w:val="decimal"/>
      <w:lvlText w:val="%1."/>
      <w:lvlJc w:val="left"/>
      <w:pPr>
        <w:ind w:left="420" w:hanging="420"/>
      </w:pPr>
      <w:rPr>
        <w:rFonts w:hint="default" w:ascii="宋体" w:hAnsi="宋体" w:eastAsia="宋体" w:cstheme="minorEastAsia"/>
        <w:i w:val="0"/>
        <w:iCs w:val="0"/>
        <w:color w:val="auto"/>
        <w:sz w:val="24"/>
        <w:szCs w:val="24"/>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
    <w:nsid w:val="7271342E"/>
    <w:multiLevelType w:val="multilevel"/>
    <w:tmpl w:val="7271342E"/>
    <w:lvl w:ilvl="0" w:tentative="0">
      <w:start w:val="1"/>
      <w:numFmt w:val="decimal"/>
      <w:lvlText w:val="%1."/>
      <w:lvlJc w:val="left"/>
      <w:pPr>
        <w:ind w:left="900" w:hanging="420"/>
      </w:pPr>
      <w:rPr>
        <w:rFonts w:hint="default"/>
        <w:b w:val="0"/>
        <w:bCs w:val="0"/>
        <w:u w:val="none" w:color="auto"/>
      </w:rPr>
    </w:lvl>
    <w:lvl w:ilvl="1" w:tentative="0">
      <w:start w:val="1"/>
      <w:numFmt w:val="lowerLetter"/>
      <w:lvlText w:val="%2)"/>
      <w:lvlJc w:val="left"/>
      <w:pPr>
        <w:ind w:left="1320" w:hanging="42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7">
    <w:nsid w:val="73EE4E42"/>
    <w:multiLevelType w:val="multilevel"/>
    <w:tmpl w:val="73EE4E42"/>
    <w:lvl w:ilvl="0" w:tentative="0">
      <w:start w:val="1"/>
      <w:numFmt w:val="decimal"/>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8">
    <w:nsid w:val="766B2809"/>
    <w:multiLevelType w:val="multilevel"/>
    <w:tmpl w:val="766B2809"/>
    <w:lvl w:ilvl="0" w:tentative="0">
      <w:start w:val="1"/>
      <w:numFmt w:val="decimal"/>
      <w:lvlText w:val="%1."/>
      <w:lvlJc w:val="left"/>
      <w:pPr>
        <w:ind w:left="562" w:hanging="420"/>
      </w:pPr>
      <w:rPr>
        <w:rFonts w:hint="default"/>
        <w:color w:val="auto"/>
        <w:u w:val="none" w:color="auto"/>
      </w:rPr>
    </w:lvl>
    <w:lvl w:ilvl="1" w:tentative="0">
      <w:start w:val="1"/>
      <w:numFmt w:val="lowerLetter"/>
      <w:lvlText w:val="%2)"/>
      <w:lvlJc w:val="left"/>
      <w:pPr>
        <w:ind w:left="982" w:hanging="420"/>
      </w:pPr>
      <w:rPr>
        <w:rFonts w:hint="default"/>
        <w:u w:val="none" w:color="auto"/>
      </w:rPr>
    </w:lvl>
    <w:lvl w:ilvl="2" w:tentative="0">
      <w:start w:val="1"/>
      <w:numFmt w:val="lowerRoman"/>
      <w:lvlText w:val="%3."/>
      <w:lvlJc w:val="right"/>
      <w:pPr>
        <w:ind w:left="1402" w:hanging="420"/>
      </w:pPr>
      <w:rPr>
        <w:rFonts w:hint="default"/>
        <w:u w:val="none" w:color="auto"/>
      </w:rPr>
    </w:lvl>
    <w:lvl w:ilvl="3" w:tentative="0">
      <w:start w:val="1"/>
      <w:numFmt w:val="decimal"/>
      <w:lvlText w:val="%4."/>
      <w:lvlJc w:val="left"/>
      <w:pPr>
        <w:ind w:left="1822" w:hanging="420"/>
      </w:pPr>
      <w:rPr>
        <w:rFonts w:hint="default"/>
        <w:u w:val="none" w:color="auto"/>
      </w:rPr>
    </w:lvl>
    <w:lvl w:ilvl="4" w:tentative="0">
      <w:start w:val="1"/>
      <w:numFmt w:val="lowerLetter"/>
      <w:lvlText w:val="%5)"/>
      <w:lvlJc w:val="left"/>
      <w:pPr>
        <w:ind w:left="2242" w:hanging="420"/>
      </w:pPr>
      <w:rPr>
        <w:rFonts w:hint="default"/>
        <w:u w:val="none" w:color="auto"/>
      </w:rPr>
    </w:lvl>
    <w:lvl w:ilvl="5" w:tentative="0">
      <w:start w:val="1"/>
      <w:numFmt w:val="lowerRoman"/>
      <w:lvlText w:val="%6."/>
      <w:lvlJc w:val="right"/>
      <w:pPr>
        <w:ind w:left="2662" w:hanging="420"/>
      </w:pPr>
      <w:rPr>
        <w:rFonts w:hint="default"/>
        <w:u w:val="none" w:color="auto"/>
      </w:rPr>
    </w:lvl>
    <w:lvl w:ilvl="6" w:tentative="0">
      <w:start w:val="1"/>
      <w:numFmt w:val="decimal"/>
      <w:lvlText w:val="%7."/>
      <w:lvlJc w:val="left"/>
      <w:pPr>
        <w:ind w:left="3082" w:hanging="420"/>
      </w:pPr>
      <w:rPr>
        <w:rFonts w:hint="default"/>
        <w:u w:val="none" w:color="auto"/>
      </w:rPr>
    </w:lvl>
    <w:lvl w:ilvl="7" w:tentative="0">
      <w:start w:val="1"/>
      <w:numFmt w:val="lowerLetter"/>
      <w:lvlText w:val="%8)"/>
      <w:lvlJc w:val="left"/>
      <w:pPr>
        <w:ind w:left="3502" w:hanging="420"/>
      </w:pPr>
      <w:rPr>
        <w:rFonts w:hint="default"/>
        <w:u w:val="none" w:color="auto"/>
      </w:rPr>
    </w:lvl>
    <w:lvl w:ilvl="8" w:tentative="0">
      <w:start w:val="1"/>
      <w:numFmt w:val="lowerRoman"/>
      <w:lvlText w:val="%9."/>
      <w:lvlJc w:val="right"/>
      <w:pPr>
        <w:ind w:left="3922" w:hanging="420"/>
      </w:pPr>
      <w:rPr>
        <w:rFonts w:hint="default"/>
        <w:u w:val="none" w:color="auto"/>
      </w:rPr>
    </w:lvl>
  </w:abstractNum>
  <w:num w:numId="1">
    <w:abstractNumId w:val="2"/>
  </w:num>
  <w:num w:numId="2">
    <w:abstractNumId w:val="8"/>
  </w:num>
  <w:num w:numId="3">
    <w:abstractNumId w:val="7"/>
  </w:num>
  <w:num w:numId="4">
    <w:abstractNumId w:val="5"/>
  </w:num>
  <w:num w:numId="5">
    <w:abstractNumId w:val="0"/>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ODI5YWIzYzAyZWMyNzA4Zjg2MjY0MjQ3MWZlYWQifQ=="/>
  </w:docVars>
  <w:rsids>
    <w:rsidRoot w:val="00172A27"/>
    <w:rsid w:val="002235CA"/>
    <w:rsid w:val="31163769"/>
    <w:rsid w:val="3A3277F2"/>
    <w:rsid w:val="443B7D84"/>
    <w:rsid w:val="57C46765"/>
    <w:rsid w:val="5D0401D5"/>
    <w:rsid w:val="61524681"/>
    <w:rsid w:val="68955405"/>
    <w:rsid w:val="691D5B26"/>
    <w:rsid w:val="6D276982"/>
    <w:rsid w:val="701916C5"/>
    <w:rsid w:val="714536F0"/>
    <w:rsid w:val="72CB4EFF"/>
    <w:rsid w:val="73D725BB"/>
    <w:rsid w:val="76AE2C1E"/>
    <w:rsid w:val="781A106D"/>
    <w:rsid w:val="78DD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autoSpaceDE w:val="0"/>
      <w:autoSpaceDN w:val="0"/>
      <w:adjustRightInd w:val="0"/>
      <w:spacing w:beforeLines="0" w:afterLines="0"/>
    </w:pPr>
    <w:rPr>
      <w:rFonts w:hint="default" w:ascii="Times New Roman" w:hAnsi="Times New Roman" w:eastAsia="宋体" w:cs="Times New Roman"/>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2023-11-20T02:49:00Z</dcterms:created>
  <dc:creator>LUFEI</dc:creator>
  <cp:lastModifiedBy>Aurora </cp:lastModifiedBy>
  <dcterms:modified xsi:type="dcterms:W3CDTF">2024-01-26T09:21:04Z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194132E4DE9B485F983C65137110AD3E_13</vt:lpwstr>
  </property>
</Properties>
</file>