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0" w:lineRule="exact"/>
        <w:jc w:val="left"/>
        <w:textAlignment w:val="center"/>
        <w:outlineLvl w:val="9"/>
        <w:rPr>
          <w:rFonts w:hint="eastAsia" w:ascii="Times New Roman" w:hAnsi="Times New Roman" w:eastAsia="仿宋" w:cs="Times New Roman"/>
          <w:b/>
          <w:bCs/>
          <w:i w:val="0"/>
          <w:color w:val="000000"/>
          <w:kern w:val="0"/>
          <w:sz w:val="32"/>
          <w:szCs w:val="32"/>
          <w:u w:val="none"/>
          <w:lang w:val="en-US" w:eastAsia="zh-CN" w:bidi="ar"/>
        </w:rPr>
      </w:pPr>
      <w:r>
        <w:rPr>
          <w:rFonts w:hint="eastAsia" w:ascii="仿宋_GB2312" w:hAnsi="宋体" w:eastAsia="仿宋_GB2312" w:cs="Times New Roman"/>
          <w:b/>
          <w:bCs/>
          <w:sz w:val="32"/>
          <w:szCs w:val="32"/>
          <w:lang w:val="en-US" w:eastAsia="zh-CN"/>
        </w:rPr>
        <w:t>附件1：</w:t>
      </w:r>
    </w:p>
    <w:tbl>
      <w:tblPr>
        <w:tblStyle w:val="3"/>
        <w:tblW w:w="8298" w:type="dxa"/>
        <w:jc w:val="center"/>
        <w:tblInd w:w="-138" w:type="dxa"/>
        <w:tblLayout w:type="fixed"/>
        <w:tblCellMar>
          <w:top w:w="0" w:type="dxa"/>
          <w:left w:w="0" w:type="dxa"/>
          <w:bottom w:w="0" w:type="dxa"/>
          <w:right w:w="0" w:type="dxa"/>
        </w:tblCellMar>
      </w:tblPr>
      <w:tblGrid>
        <w:gridCol w:w="444"/>
        <w:gridCol w:w="5080"/>
        <w:gridCol w:w="392"/>
        <w:gridCol w:w="835"/>
        <w:gridCol w:w="1547"/>
      </w:tblGrid>
      <w:tr>
        <w:tblPrEx>
          <w:tblLayout w:type="fixed"/>
          <w:tblCellMar>
            <w:top w:w="0" w:type="dxa"/>
            <w:left w:w="0" w:type="dxa"/>
            <w:bottom w:w="0" w:type="dxa"/>
            <w:right w:w="0" w:type="dxa"/>
          </w:tblCellMar>
        </w:tblPrEx>
        <w:trPr>
          <w:trHeight w:val="976" w:hRule="atLeast"/>
          <w:jc w:val="center"/>
        </w:trPr>
        <w:tc>
          <w:tcPr>
            <w:tcW w:w="552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_GB2312" w:hAnsi="宋体" w:eastAsia="仿宋_GB2312" w:cs="Times New Roman"/>
                <w:sz w:val="32"/>
                <w:szCs w:val="32"/>
              </w:rPr>
            </w:pPr>
            <w:r>
              <w:rPr>
                <w:rFonts w:hint="default" w:ascii="仿宋_GB2312" w:hAnsi="宋体" w:eastAsia="仿宋_GB2312" w:cs="Times New Roman"/>
                <w:b/>
                <w:bCs/>
                <w:sz w:val="44"/>
                <w:szCs w:val="44"/>
                <w:lang w:val="en-US" w:eastAsia="zh-CN"/>
              </w:rPr>
              <w:t>评分</w:t>
            </w:r>
            <w:r>
              <w:rPr>
                <w:rFonts w:hint="default" w:ascii="仿宋_GB2312" w:hAnsi="宋体" w:eastAsia="仿宋_GB2312" w:cs="Times New Roman"/>
                <w:b/>
                <w:bCs/>
                <w:sz w:val="44"/>
                <w:szCs w:val="44"/>
                <w:lang w:val="en-US" w:eastAsia="zh-CN"/>
              </w:rPr>
              <w:t>标准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分值</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评分结果</w:t>
            </w: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签字</w:t>
            </w:r>
          </w:p>
        </w:tc>
      </w:tr>
      <w:tr>
        <w:tblPrEx>
          <w:tblLayout w:type="fixed"/>
          <w:tblCellMar>
            <w:top w:w="0" w:type="dxa"/>
            <w:left w:w="0" w:type="dxa"/>
            <w:bottom w:w="0" w:type="dxa"/>
            <w:right w:w="0" w:type="dxa"/>
          </w:tblCellMar>
        </w:tblPrEx>
        <w:trPr>
          <w:trHeight w:val="96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说明</w:t>
            </w:r>
          </w:p>
        </w:tc>
        <w:tc>
          <w:tcPr>
            <w:tcW w:w="5080" w:type="dxa"/>
            <w:tcBorders>
              <w:top w:val="nil"/>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 xml:space="preserve">    此次遴选代理机构考核采用综合评分法，商务50分，技术30分，现场考察20分，总分100分。</w:t>
            </w:r>
          </w:p>
        </w:tc>
        <w:tc>
          <w:tcPr>
            <w:tcW w:w="3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174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nil"/>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申请人拥有5名（含5名）以上熟悉政府采购法律法规、具有编制采购文件和组织采购活动等相应能力的专职从业人员的，得10分。少于5人的不得分。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注：提供相关人员社保证明并加盖单位章。</w:t>
            </w:r>
          </w:p>
        </w:tc>
        <w:tc>
          <w:tcPr>
            <w:tcW w:w="39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10分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1832"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申请人具有法律专业执业资格人员或聘任律师事务所担任法律顾问的，得5分。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注：提供法律服务合同或如果单位具有法律专业执业资格人员的，须提供有效的执业人员资格证书复印件。</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252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（1）截至2023年7月31日，连续在申请人单位从事采购代理业务3年及以上仍在岗的员工且具有政府采购培训证书的：少于5人不得分；5人（含5人）以上得5分。以5人为基础，每增加1人得1分，本项最高得8分。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注：提供社保证明及政府采购培训证书等相关材料加盖公章。（原件备查）</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8</w:t>
            </w:r>
            <w:bookmarkStart w:id="0" w:name="_GoBack"/>
            <w:bookmarkEnd w:id="0"/>
            <w:r>
              <w:rPr>
                <w:rFonts w:hint="default" w:ascii="仿宋_GB2312" w:hAnsi="宋体" w:eastAsia="仿宋_GB2312" w:cs="Times New Roman"/>
                <w:sz w:val="32"/>
                <w:szCs w:val="32"/>
                <w:lang w:val="en-US" w:eastAsia="zh-CN"/>
              </w:rPr>
              <w:t>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1447"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（2）拟派项目负责人（1人）相关要求：</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①截至2023年7月31日，拟派项目负责人从事政府采购工作经验不足3年不得分，3-5年（不含5年）的得0.5分，5-7年（不含7年）得1分，7年及以上的得2分。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②截至2023年7月31日，取得中级或以上职称（经济类、工商管理类、工程类）不足2年的，不得分；2-3年（不含3年）得1分，3年及以上的得2分。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本项最高得4分。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注：提供社保证明，职称证书复印件等相关材料加盖公章。</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4分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222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近3年（202</w:t>
            </w:r>
            <w:r>
              <w:rPr>
                <w:rFonts w:hint="eastAsia" w:ascii="仿宋_GB2312" w:hAnsi="宋体" w:eastAsia="仿宋_GB2312" w:cs="Times New Roman"/>
                <w:sz w:val="32"/>
                <w:szCs w:val="32"/>
                <w:lang w:val="en-US" w:eastAsia="zh-CN"/>
              </w:rPr>
              <w:t>0</w:t>
            </w:r>
            <w:r>
              <w:rPr>
                <w:rFonts w:hint="default" w:ascii="仿宋_GB2312" w:hAnsi="宋体" w:eastAsia="仿宋_GB2312" w:cs="Times New Roman"/>
                <w:sz w:val="32"/>
                <w:szCs w:val="32"/>
                <w:lang w:val="en-US" w:eastAsia="zh-CN"/>
              </w:rPr>
              <w:t>年7月1月至2023年7月31日期间）所代理的政府采购项目。每个项目得1分（同一采购人多个项目只计算一次）。本项最高得分8分。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注：提供中标通知书或成交通知书，采购代理合同或协议书及招标公告。</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8分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669"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 xml:space="preserve">企业具有有效的质量管理体系认证证书的，得1分；具有有效的环境管理体系体系认证证书的，得1分；具有有效的职业健康安全管理体系认证证书的，得1分。 </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反贿赂管理体系认证证书得1分,企业社会责任管理体系认证得1分。没有不得分。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本项最高得5分。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注：须同时提供认证证书复印件和打印网站公布的链接信息资料【网址以http：//www.cnca.gov.cn/网站公布为准】。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2188"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商务</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（1）在广州市五区（五区：白云、天河、荔湾、越秀、海珠）有固定办公营业场所且面积在400平方米（含）及以上的得2分，小于400平方米的不得分。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（2）在广州市（五区）有用于本项目的开评标场地，且具备计算机设备及监控系统。开、评标室2间（含2间）及以下的不得分，3间（含3间）的得1分，每增加1间得1分，最高得4分。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（3）具备独立监督室，并配备计算机设备，满足监控、监听要求的，得2分，没有不得分。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（4）具备独立档案室，且总面积不少于50平方米，得2分，没有不得分。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本项最高得10分。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注：提供房产证或租赁合同复印件、开评标室照片、监控系统图片，并加盖公章，证明材料不全不得分。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10分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354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评委会根据以下评审要点对采购代理服务方案进行横向评分，缺少相关内容的评审要点不得分。</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（1）招标代理服务方案及时间计划表。（方案包括采购全流程咨询服务，法律服务，采购响应时间，是否提供采购培训等）</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提供的措施方案完整、清晰、具体，科学合理，服务响应较好，得5分；提供的措施方案较完善、具体，服务响应一般得3分；提供的措施方案不完善、不具体，服务响应较差得1分。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683"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（2）自建专家库的管理措施。（自建专家库入库数量、专业结构情况及抽取方式说明，公共或共享专家库的抽取方式说明，以及保密方案等）</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提供的措施方案完整、清晰、具体，科学合理，服务响应较好，得5分；提供的措施方案较完善、具体，服务响应一般得3分；提供的措施方案不完善、不具体，服务响应较差得1分。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2520"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（3）质疑处理的措施。（对项目的投诉质疑事项提供应对方案，处理时效等，可提供案例分析说明）</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提供的措施方案完整、清晰、具体，科学合理，服务响应较好，得5分；提供的措施方案较完善、具体，服务响应一般得3分；提供的措施方案不完善、不具体，服务响应较差得1分。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2535"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（4）保密工作，廉政风险防范措施。（在项目采购全过程中如何做好项目的保密工作、廉政风险防范等，提供措施方案）</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提供的措施方案完整、清晰、具体，科学合理，服务响应较好，得5分；提供的措施方案较完善、具体，服务响应一般得3分；提供的措施方案不完善、不具体，服务响应较差得1分。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502"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（5）档案制度的管理方案。（对承接的采购项目如何做好资料过程留痕，归档管理措施，档案室管理情况等）</w:t>
            </w:r>
            <w:r>
              <w:rPr>
                <w:rFonts w:hint="default" w:ascii="仿宋_GB2312" w:hAnsi="宋体" w:eastAsia="仿宋_GB2312" w:cs="Times New Roman"/>
                <w:sz w:val="32"/>
                <w:szCs w:val="32"/>
                <w:lang w:val="en-US" w:eastAsia="zh-CN"/>
              </w:rPr>
              <w:br w:type="textWrapping"/>
            </w:r>
            <w:r>
              <w:rPr>
                <w:rFonts w:hint="default" w:ascii="仿宋_GB2312" w:hAnsi="宋体" w:eastAsia="仿宋_GB2312" w:cs="Times New Roman"/>
                <w:sz w:val="32"/>
                <w:szCs w:val="32"/>
                <w:lang w:val="en-US" w:eastAsia="zh-CN"/>
              </w:rPr>
              <w:t>提供的措施方案完整、清晰、具体，科学合理，服务响应较好，得5分；提供的措施方案较完善、具体，服务响应一般得3分；提供的措施方案不完善、不具体，服务响应较差得1分。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1425"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技术</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部分</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（6）能够正确描述公开招标、邀请招标、竞争性谈判、竞争性磋商、询价采购和单一来源采购流程，描述清楚、政策清晰，一个得1分，最多得5分。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5分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r>
        <w:tblPrEx>
          <w:tblLayout w:type="fixed"/>
          <w:tblCellMar>
            <w:top w:w="0" w:type="dxa"/>
            <w:left w:w="0" w:type="dxa"/>
            <w:bottom w:w="0" w:type="dxa"/>
            <w:right w:w="0" w:type="dxa"/>
          </w:tblCellMar>
        </w:tblPrEx>
        <w:trPr>
          <w:trHeight w:val="1815" w:hRule="atLeast"/>
          <w:jc w:val="center"/>
        </w:trPr>
        <w:tc>
          <w:tcPr>
            <w:tcW w:w="4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b/>
                <w:bCs/>
                <w:sz w:val="32"/>
                <w:szCs w:val="32"/>
              </w:rPr>
            </w:pPr>
            <w:r>
              <w:rPr>
                <w:rFonts w:hint="default" w:ascii="仿宋_GB2312" w:hAnsi="宋体" w:eastAsia="仿宋_GB2312" w:cs="Times New Roman"/>
                <w:b/>
                <w:bCs/>
                <w:sz w:val="32"/>
                <w:szCs w:val="32"/>
                <w:lang w:val="en-US" w:eastAsia="zh-CN"/>
              </w:rPr>
              <w:t>现场</w:t>
            </w:r>
            <w:r>
              <w:rPr>
                <w:rFonts w:hint="default" w:ascii="仿宋_GB2312" w:hAnsi="宋体" w:eastAsia="仿宋_GB2312" w:cs="Times New Roman"/>
                <w:b/>
                <w:bCs/>
                <w:sz w:val="32"/>
                <w:szCs w:val="32"/>
                <w:lang w:val="en-US" w:eastAsia="zh-CN"/>
              </w:rPr>
              <w:br w:type="textWrapping"/>
            </w:r>
            <w:r>
              <w:rPr>
                <w:rFonts w:hint="default" w:ascii="仿宋_GB2312" w:hAnsi="宋体" w:eastAsia="仿宋_GB2312" w:cs="Times New Roman"/>
                <w:b/>
                <w:bCs/>
                <w:sz w:val="32"/>
                <w:szCs w:val="32"/>
                <w:lang w:val="en-US" w:eastAsia="zh-CN"/>
              </w:rPr>
              <w:t>考察</w:t>
            </w:r>
          </w:p>
        </w:tc>
        <w:tc>
          <w:tcPr>
            <w:tcW w:w="5080"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评审委员会对价格、商务、技术评审得分前20名的代理机构进行现场考察，主要考察代理机构规模、开评标场地、人员配备、专业素质、服务态度等进行横向对比，优为20分，良为15分，中为10分，一般为5分。</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r>
              <w:rPr>
                <w:rFonts w:hint="default" w:ascii="仿宋_GB2312" w:hAnsi="宋体" w:eastAsia="仿宋_GB2312" w:cs="Times New Roman"/>
                <w:sz w:val="32"/>
                <w:szCs w:val="32"/>
                <w:lang w:val="en-US" w:eastAsia="zh-CN"/>
              </w:rPr>
              <w:t>20分</w:t>
            </w:r>
          </w:p>
        </w:tc>
        <w:tc>
          <w:tcPr>
            <w:tcW w:w="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c>
          <w:tcPr>
            <w:tcW w:w="15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仿宋_GB2312" w:hAnsi="宋体" w:eastAsia="仿宋_GB2312" w:cs="Times New Roman"/>
                <w:sz w:val="32"/>
                <w:szCs w:val="32"/>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E5B4A"/>
    <w:rsid w:val="0FB639A6"/>
    <w:rsid w:val="1E084DD5"/>
    <w:rsid w:val="23196139"/>
    <w:rsid w:val="2F0E6261"/>
    <w:rsid w:val="3C1E5B4A"/>
    <w:rsid w:val="4D7C06FA"/>
    <w:rsid w:val="4E173FCD"/>
    <w:rsid w:val="74A66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45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2023-08-28T02:17:00Z</dcterms:created>
  <dc:creator>符海浩</dc:creator>
  <cp:lastModifiedBy>符海浩</cp:lastModifiedBy>
  <dcterms:modified xsi:type="dcterms:W3CDTF">2023-08-28T03:16:25Z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